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00" w:rsidRPr="00740809" w:rsidRDefault="00C52BE2" w:rsidP="00634200">
      <w:pPr>
        <w:pStyle w:val="DocumentTitle"/>
        <w:rPr>
          <w:rFonts w:asciiTheme="minorHAnsi" w:hAnsiTheme="minorHAnsi"/>
          <w:sz w:val="32"/>
          <w:szCs w:val="32"/>
        </w:rPr>
      </w:pPr>
      <w:bookmarkStart w:id="0" w:name="_GoBack"/>
      <w:bookmarkEnd w:id="0"/>
      <w:r w:rsidRPr="00740809">
        <w:rPr>
          <w:rFonts w:asciiTheme="minorHAnsi" w:hAnsiTheme="minorHAnsi"/>
          <w:color w:val="595959" w:themeColor="text1" w:themeTint="A6"/>
          <w:sz w:val="44"/>
          <w:szCs w:val="44"/>
          <w:u w:val="single"/>
        </w:rPr>
        <w:t>Syllabus: AEDECOn</w:t>
      </w:r>
      <w:r w:rsidR="005773FB">
        <w:rPr>
          <w:rFonts w:asciiTheme="minorHAnsi" w:hAnsiTheme="minorHAnsi"/>
          <w:color w:val="595959" w:themeColor="text1" w:themeTint="A6"/>
          <w:sz w:val="44"/>
          <w:szCs w:val="44"/>
          <w:u w:val="single"/>
        </w:rPr>
        <w:t>/INTSTDS</w:t>
      </w:r>
      <w:r w:rsidR="00634200" w:rsidRPr="00740809">
        <w:rPr>
          <w:rFonts w:asciiTheme="minorHAnsi" w:hAnsiTheme="minorHAnsi"/>
          <w:color w:val="595959" w:themeColor="text1" w:themeTint="A6"/>
          <w:sz w:val="44"/>
          <w:szCs w:val="44"/>
          <w:u w:val="single"/>
        </w:rPr>
        <w:t xml:space="preserve"> 4534</w:t>
      </w:r>
      <w:r w:rsidR="004A3492" w:rsidRPr="00C52BE2">
        <w:rPr>
          <w:rFonts w:asciiTheme="minorHAnsi" w:hAnsiTheme="minorHAnsi"/>
        </w:rPr>
        <w:br/>
      </w:r>
      <w:r w:rsidR="00634200" w:rsidRPr="00634200">
        <w:rPr>
          <w:rFonts w:asciiTheme="minorHAnsi" w:hAnsiTheme="minorHAnsi"/>
          <w:sz w:val="32"/>
          <w:szCs w:val="32"/>
        </w:rPr>
        <w:t xml:space="preserve">Comparative challenges to economic development: </w:t>
      </w:r>
      <w:r w:rsidR="00740809">
        <w:rPr>
          <w:rFonts w:asciiTheme="minorHAnsi" w:hAnsiTheme="minorHAnsi"/>
          <w:sz w:val="32"/>
          <w:szCs w:val="32"/>
        </w:rPr>
        <w:t xml:space="preserve">       </w:t>
      </w:r>
      <w:r w:rsidR="00634200" w:rsidRPr="00634200">
        <w:rPr>
          <w:rFonts w:asciiTheme="minorHAnsi" w:hAnsiTheme="minorHAnsi"/>
          <w:sz w:val="32"/>
          <w:szCs w:val="32"/>
        </w:rPr>
        <w:t>Sub-saharan africa, Latin america, and china</w:t>
      </w:r>
    </w:p>
    <w:p w:rsidR="00B45693" w:rsidRPr="00740809" w:rsidRDefault="00B45693" w:rsidP="00634200">
      <w:pPr>
        <w:pStyle w:val="DocumentTitle"/>
        <w:rPr>
          <w:rFonts w:asciiTheme="minorHAnsi" w:hAnsiTheme="minorHAnsi"/>
          <w:color w:val="595959" w:themeColor="text1" w:themeTint="A6"/>
          <w:sz w:val="36"/>
        </w:rPr>
      </w:pPr>
      <w:r w:rsidRPr="00740809">
        <w:rPr>
          <w:rFonts w:asciiTheme="minorHAnsi" w:hAnsiTheme="minorHAnsi"/>
          <w:color w:val="595959" w:themeColor="text1" w:themeTint="A6"/>
          <w:sz w:val="36"/>
        </w:rPr>
        <w:t>Course overview</w:t>
      </w:r>
    </w:p>
    <w:p w:rsidR="003B3934" w:rsidRPr="00C52BE2" w:rsidRDefault="0028320F" w:rsidP="00B45693">
      <w:pPr>
        <w:pStyle w:val="Heading2"/>
      </w:pPr>
      <w:r w:rsidRPr="00C52BE2">
        <w:t>Instructor</w:t>
      </w:r>
    </w:p>
    <w:p w:rsidR="0028320F" w:rsidRPr="00C52BE2" w:rsidRDefault="004A3492" w:rsidP="0028320F">
      <w:pPr>
        <w:rPr>
          <w:rFonts w:asciiTheme="minorHAnsi" w:hAnsiTheme="minorHAnsi"/>
        </w:rPr>
      </w:pPr>
      <w:r w:rsidRPr="00C52BE2">
        <w:rPr>
          <w:rFonts w:asciiTheme="minorHAnsi" w:hAnsiTheme="minorHAnsi"/>
        </w:rPr>
        <w:t>Instructor:</w:t>
      </w:r>
      <w:r w:rsidR="00A96C9A">
        <w:rPr>
          <w:rFonts w:asciiTheme="minorHAnsi" w:hAnsiTheme="minorHAnsi"/>
        </w:rPr>
        <w:tab/>
      </w:r>
    </w:p>
    <w:p w:rsidR="004A3492" w:rsidRPr="00C52BE2" w:rsidRDefault="004A3492" w:rsidP="0028320F">
      <w:pPr>
        <w:rPr>
          <w:rFonts w:asciiTheme="minorHAnsi" w:hAnsiTheme="minorHAnsi"/>
        </w:rPr>
      </w:pPr>
      <w:r w:rsidRPr="00C52BE2">
        <w:rPr>
          <w:rFonts w:asciiTheme="minorHAnsi" w:hAnsiTheme="minorHAnsi"/>
        </w:rPr>
        <w:t>Email address:</w:t>
      </w:r>
      <w:r w:rsidR="00A96C9A">
        <w:rPr>
          <w:rFonts w:asciiTheme="minorHAnsi" w:hAnsiTheme="minorHAnsi"/>
        </w:rPr>
        <w:t xml:space="preserve">  </w:t>
      </w:r>
    </w:p>
    <w:p w:rsidR="004A3492" w:rsidRPr="00C52BE2" w:rsidRDefault="004A3492" w:rsidP="0028320F">
      <w:pPr>
        <w:rPr>
          <w:rFonts w:asciiTheme="minorHAnsi" w:hAnsiTheme="minorHAnsi"/>
        </w:rPr>
      </w:pPr>
      <w:r w:rsidRPr="00C52BE2">
        <w:rPr>
          <w:rFonts w:asciiTheme="minorHAnsi" w:hAnsiTheme="minorHAnsi"/>
        </w:rPr>
        <w:t>Phone number:</w:t>
      </w:r>
      <w:r w:rsidR="00A96C9A">
        <w:rPr>
          <w:rFonts w:asciiTheme="minorHAnsi" w:hAnsiTheme="minorHAnsi"/>
        </w:rPr>
        <w:t xml:space="preserve"> </w:t>
      </w:r>
    </w:p>
    <w:p w:rsidR="0028320F" w:rsidRPr="00C52BE2" w:rsidRDefault="0028320F" w:rsidP="0028320F">
      <w:pPr>
        <w:rPr>
          <w:rFonts w:asciiTheme="minorHAnsi" w:hAnsiTheme="minorHAnsi"/>
        </w:rPr>
      </w:pPr>
      <w:r w:rsidRPr="00C52BE2">
        <w:rPr>
          <w:rFonts w:asciiTheme="minorHAnsi" w:hAnsiTheme="minorHAnsi"/>
        </w:rPr>
        <w:t>Office</w:t>
      </w:r>
      <w:r w:rsidR="004A3492" w:rsidRPr="00C52BE2">
        <w:rPr>
          <w:rFonts w:asciiTheme="minorHAnsi" w:hAnsiTheme="minorHAnsi"/>
        </w:rPr>
        <w:t xml:space="preserve"> hours:</w:t>
      </w:r>
      <w:r w:rsidR="00C52BE2" w:rsidRPr="00C52BE2">
        <w:rPr>
          <w:rFonts w:asciiTheme="minorHAnsi" w:hAnsiTheme="minorHAnsi"/>
        </w:rPr>
        <w:t xml:space="preserve"> </w:t>
      </w:r>
    </w:p>
    <w:p w:rsidR="004A3492" w:rsidRPr="00C52BE2" w:rsidRDefault="004A3492" w:rsidP="004A3492">
      <w:pPr>
        <w:pStyle w:val="Heading2"/>
      </w:pPr>
      <w:r w:rsidRPr="00C52BE2">
        <w:t>Course description</w:t>
      </w:r>
    </w:p>
    <w:p w:rsidR="00634200" w:rsidRDefault="00634200" w:rsidP="00160E18">
      <w:pPr>
        <w:rPr>
          <w:rFonts w:asciiTheme="minorHAnsi" w:hAnsiTheme="minorHAnsi"/>
        </w:rPr>
      </w:pPr>
      <w:r>
        <w:rPr>
          <w:rFonts w:asciiTheme="minorHAnsi" w:hAnsiTheme="minorHAnsi"/>
        </w:rPr>
        <w:t>An introductory survey course of issues shaping economic development in Sub-Saharan Africa, La</w:t>
      </w:r>
      <w:r w:rsidR="00740809">
        <w:rPr>
          <w:rFonts w:asciiTheme="minorHAnsi" w:hAnsiTheme="minorHAnsi"/>
        </w:rPr>
        <w:t xml:space="preserve">tin America, and China, such as: </w:t>
      </w:r>
      <w:r>
        <w:rPr>
          <w:rFonts w:asciiTheme="minorHAnsi" w:hAnsiTheme="minorHAnsi"/>
        </w:rPr>
        <w:t>population growth, agricultural development, industrialization, trade, structural adjustment, and environmental issues.</w:t>
      </w:r>
    </w:p>
    <w:p w:rsidR="00634200" w:rsidRDefault="00C52BE2" w:rsidP="00160E18">
      <w:pPr>
        <w:rPr>
          <w:rFonts w:asciiTheme="minorHAnsi" w:hAnsiTheme="minorHAnsi"/>
        </w:rPr>
      </w:pPr>
      <w:r w:rsidRPr="00634200">
        <w:rPr>
          <w:rFonts w:asciiTheme="minorHAnsi" w:hAnsiTheme="minorHAnsi"/>
          <w:b/>
        </w:rPr>
        <w:t>Prerequisites</w:t>
      </w:r>
      <w:r w:rsidR="00634200">
        <w:rPr>
          <w:rFonts w:asciiTheme="minorHAnsi" w:hAnsiTheme="minorHAnsi"/>
          <w:b/>
        </w:rPr>
        <w:t xml:space="preserve"> and Exclusions</w:t>
      </w:r>
      <w:r w:rsidRPr="00634200">
        <w:rPr>
          <w:rFonts w:asciiTheme="minorHAnsi" w:hAnsiTheme="minorHAnsi"/>
          <w:b/>
        </w:rPr>
        <w:t>:</w:t>
      </w:r>
      <w:r>
        <w:rPr>
          <w:rFonts w:asciiTheme="minorHAnsi" w:hAnsiTheme="minorHAnsi"/>
        </w:rPr>
        <w:t xml:space="preserve"> AEDECON 2001 or ECON 2001 or equivalent. Not open to students with credit for </w:t>
      </w:r>
      <w:r w:rsidR="00634200">
        <w:rPr>
          <w:rFonts w:asciiTheme="minorHAnsi" w:hAnsiTheme="minorHAnsi"/>
        </w:rPr>
        <w:t xml:space="preserve">AEDECON 4536, 4538, or 4539 or </w:t>
      </w:r>
      <w:proofErr w:type="spellStart"/>
      <w:r w:rsidR="00634200">
        <w:rPr>
          <w:rFonts w:asciiTheme="minorHAnsi" w:hAnsiTheme="minorHAnsi"/>
        </w:rPr>
        <w:t>IntStds</w:t>
      </w:r>
      <w:proofErr w:type="spellEnd"/>
      <w:r w:rsidR="00634200">
        <w:rPr>
          <w:rFonts w:asciiTheme="minorHAnsi" w:hAnsiTheme="minorHAnsi"/>
        </w:rPr>
        <w:t xml:space="preserve"> 4536, 4538, 4539.</w:t>
      </w:r>
    </w:p>
    <w:p w:rsidR="00160E18" w:rsidRDefault="00634200" w:rsidP="00160E18">
      <w:pPr>
        <w:rPr>
          <w:rFonts w:asciiTheme="minorHAnsi" w:hAnsiTheme="minorHAnsi"/>
        </w:rPr>
      </w:pPr>
      <w:r w:rsidRPr="00634200">
        <w:rPr>
          <w:rFonts w:asciiTheme="minorHAnsi" w:hAnsiTheme="minorHAnsi"/>
          <w:b/>
        </w:rPr>
        <w:t>Credits:</w:t>
      </w:r>
      <w:r>
        <w:rPr>
          <w:rFonts w:asciiTheme="minorHAnsi" w:hAnsiTheme="minorHAnsi"/>
        </w:rPr>
        <w:t xml:space="preserve"> 3 credit hours</w:t>
      </w:r>
    </w:p>
    <w:p w:rsidR="004E7711" w:rsidRPr="00C52BE2" w:rsidRDefault="004E7711" w:rsidP="00160E18">
      <w:pPr>
        <w:rPr>
          <w:rFonts w:asciiTheme="minorHAnsi" w:hAnsiTheme="minorHAnsi"/>
        </w:rPr>
      </w:pPr>
      <w:r w:rsidRPr="004E7711">
        <w:rPr>
          <w:rFonts w:asciiTheme="minorHAnsi" w:hAnsiTheme="minorHAnsi"/>
          <w:b/>
        </w:rPr>
        <w:t>Meetings:</w:t>
      </w:r>
      <w:r>
        <w:rPr>
          <w:rFonts w:asciiTheme="minorHAnsi" w:hAnsiTheme="minorHAnsi"/>
        </w:rPr>
        <w:t xml:space="preserve"> 2 meetings per week of 80 minutes each</w:t>
      </w:r>
    </w:p>
    <w:p w:rsidR="004A3492" w:rsidRPr="00C52BE2" w:rsidRDefault="004A3492" w:rsidP="004A3492">
      <w:pPr>
        <w:pStyle w:val="Heading2"/>
      </w:pPr>
      <w:r w:rsidRPr="00C52BE2">
        <w:t>Course learning outcomes</w:t>
      </w:r>
    </w:p>
    <w:p w:rsidR="004A3492" w:rsidRPr="005B62B5" w:rsidRDefault="004A3492" w:rsidP="004A3492">
      <w:pPr>
        <w:rPr>
          <w:rFonts w:asciiTheme="minorHAnsi" w:hAnsiTheme="minorHAnsi"/>
        </w:rPr>
      </w:pPr>
      <w:r w:rsidRPr="005B62B5">
        <w:rPr>
          <w:rFonts w:asciiTheme="minorHAnsi" w:hAnsiTheme="minorHAnsi"/>
        </w:rPr>
        <w:t>By the end of this course, students should successfully be able to:</w:t>
      </w:r>
    </w:p>
    <w:p w:rsidR="00C52BE2" w:rsidRPr="005B62B5" w:rsidRDefault="00634200" w:rsidP="00C52BE2">
      <w:pPr>
        <w:pStyle w:val="ListParagraph"/>
        <w:numPr>
          <w:ilvl w:val="0"/>
          <w:numId w:val="34"/>
        </w:numPr>
        <w:spacing w:before="0" w:after="200" w:line="276" w:lineRule="auto"/>
        <w:contextualSpacing/>
        <w:rPr>
          <w:rFonts w:asciiTheme="minorHAnsi" w:hAnsiTheme="minorHAnsi"/>
        </w:rPr>
      </w:pPr>
      <w:r w:rsidRPr="005B62B5">
        <w:rPr>
          <w:rFonts w:asciiTheme="minorHAnsi" w:hAnsiTheme="minorHAnsi"/>
        </w:rPr>
        <w:t>Examine the diversity of economic conditions, ranging from traditional to modern, in Africa, China, and Latin America.</w:t>
      </w:r>
    </w:p>
    <w:p w:rsidR="00C52BE2" w:rsidRPr="005B62B5" w:rsidRDefault="00634200" w:rsidP="00C52BE2">
      <w:pPr>
        <w:pStyle w:val="ListParagraph"/>
        <w:numPr>
          <w:ilvl w:val="0"/>
          <w:numId w:val="34"/>
        </w:numPr>
        <w:spacing w:before="0" w:after="200" w:line="276" w:lineRule="auto"/>
        <w:contextualSpacing/>
        <w:rPr>
          <w:rFonts w:asciiTheme="minorHAnsi" w:hAnsiTheme="minorHAnsi"/>
        </w:rPr>
      </w:pPr>
      <w:r w:rsidRPr="005B62B5">
        <w:rPr>
          <w:rFonts w:asciiTheme="minorHAnsi" w:hAnsiTheme="minorHAnsi"/>
        </w:rPr>
        <w:t>To study key theories of economic development and the extent to which they explain the economies in Africa, China, and Latin America today.</w:t>
      </w:r>
    </w:p>
    <w:p w:rsidR="00C52BE2" w:rsidRPr="005B62B5" w:rsidRDefault="00634200" w:rsidP="00C52BE2">
      <w:pPr>
        <w:pStyle w:val="ListParagraph"/>
        <w:numPr>
          <w:ilvl w:val="0"/>
          <w:numId w:val="34"/>
        </w:numPr>
        <w:spacing w:before="0" w:after="200" w:line="276" w:lineRule="auto"/>
        <w:contextualSpacing/>
        <w:rPr>
          <w:rFonts w:asciiTheme="minorHAnsi" w:hAnsiTheme="minorHAnsi"/>
        </w:rPr>
      </w:pPr>
      <w:r w:rsidRPr="005B62B5">
        <w:rPr>
          <w:rFonts w:asciiTheme="minorHAnsi" w:hAnsiTheme="minorHAnsi"/>
        </w:rPr>
        <w:t>To interpret current economic and political trends in Africa, China, and Latin America.</w:t>
      </w:r>
    </w:p>
    <w:p w:rsidR="00634200" w:rsidRPr="005B62B5" w:rsidRDefault="005E6C62" w:rsidP="00C52BE2">
      <w:pPr>
        <w:pStyle w:val="ListParagraph"/>
        <w:numPr>
          <w:ilvl w:val="0"/>
          <w:numId w:val="34"/>
        </w:numPr>
        <w:spacing w:before="0" w:after="200" w:line="276" w:lineRule="auto"/>
        <w:contextualSpacing/>
        <w:rPr>
          <w:rFonts w:asciiTheme="minorHAnsi" w:hAnsiTheme="minorHAnsi"/>
        </w:rPr>
      </w:pPr>
      <w:r w:rsidRPr="005B62B5">
        <w:rPr>
          <w:rFonts w:asciiTheme="minorHAnsi" w:hAnsiTheme="minorHAnsi"/>
        </w:rPr>
        <w:t xml:space="preserve">To assess the challenges of </w:t>
      </w:r>
      <w:r w:rsidR="005A4B97" w:rsidRPr="005B62B5">
        <w:rPr>
          <w:rFonts w:asciiTheme="minorHAnsi" w:hAnsiTheme="minorHAnsi"/>
        </w:rPr>
        <w:t>agriculture</w:t>
      </w:r>
      <w:r w:rsidRPr="005B62B5">
        <w:rPr>
          <w:rFonts w:asciiTheme="minorHAnsi" w:hAnsiTheme="minorHAnsi"/>
        </w:rPr>
        <w:t>, education, food security, and governance that threaten the livelihoods of households in Africa, China, and Latin America.</w:t>
      </w:r>
    </w:p>
    <w:p w:rsidR="00D331BC" w:rsidRPr="00C52BE2" w:rsidRDefault="00AA79A1" w:rsidP="00AA79A1">
      <w:pPr>
        <w:pStyle w:val="Heading2"/>
      </w:pPr>
      <w:r w:rsidRPr="00C52BE2">
        <w:lastRenderedPageBreak/>
        <w:t>Course materials</w:t>
      </w:r>
    </w:p>
    <w:p w:rsidR="00264390" w:rsidRPr="00C52BE2" w:rsidRDefault="00EC0CF3" w:rsidP="00264390">
      <w:pPr>
        <w:pStyle w:val="Heading3"/>
      </w:pPr>
      <w:r>
        <w:t>Readings</w:t>
      </w:r>
    </w:p>
    <w:p w:rsidR="00431694" w:rsidRPr="005B62B5" w:rsidRDefault="00431694" w:rsidP="008210BA">
      <w:proofErr w:type="spellStart"/>
      <w:r w:rsidRPr="005B62B5">
        <w:t>Acemoglu</w:t>
      </w:r>
      <w:proofErr w:type="spellEnd"/>
      <w:r w:rsidRPr="005B62B5">
        <w:t xml:space="preserve">, Daron, James A. Robinson, and Dan </w:t>
      </w:r>
      <w:proofErr w:type="spellStart"/>
      <w:r w:rsidRPr="005B62B5">
        <w:t>Woren</w:t>
      </w:r>
      <w:proofErr w:type="spellEnd"/>
      <w:r w:rsidRPr="005B62B5">
        <w:t xml:space="preserve">. </w:t>
      </w:r>
      <w:r w:rsidRPr="005B62B5">
        <w:rPr>
          <w:i/>
        </w:rPr>
        <w:t xml:space="preserve">Why </w:t>
      </w:r>
      <w:r w:rsidR="006622A1" w:rsidRPr="005B62B5">
        <w:rPr>
          <w:i/>
        </w:rPr>
        <w:t>N</w:t>
      </w:r>
      <w:r w:rsidRPr="005B62B5">
        <w:rPr>
          <w:i/>
        </w:rPr>
        <w:t xml:space="preserve">ations </w:t>
      </w:r>
      <w:r w:rsidR="006622A1" w:rsidRPr="005B62B5">
        <w:rPr>
          <w:i/>
        </w:rPr>
        <w:t>F</w:t>
      </w:r>
      <w:r w:rsidRPr="005B62B5">
        <w:rPr>
          <w:i/>
        </w:rPr>
        <w:t xml:space="preserve">ail: </w:t>
      </w:r>
      <w:r w:rsidR="006622A1" w:rsidRPr="005B62B5">
        <w:rPr>
          <w:i/>
        </w:rPr>
        <w:t>T</w:t>
      </w:r>
      <w:r w:rsidRPr="005B62B5">
        <w:rPr>
          <w:i/>
        </w:rPr>
        <w:t xml:space="preserve">he </w:t>
      </w:r>
      <w:r w:rsidR="006622A1" w:rsidRPr="005B62B5">
        <w:rPr>
          <w:i/>
        </w:rPr>
        <w:t>O</w:t>
      </w:r>
      <w:r w:rsidRPr="005B62B5">
        <w:rPr>
          <w:i/>
        </w:rPr>
        <w:t xml:space="preserve">rigins of </w:t>
      </w:r>
      <w:r w:rsidR="006622A1" w:rsidRPr="005B62B5">
        <w:rPr>
          <w:i/>
        </w:rPr>
        <w:t>P</w:t>
      </w:r>
      <w:r w:rsidRPr="005B62B5">
        <w:rPr>
          <w:i/>
        </w:rPr>
        <w:t xml:space="preserve">ower, </w:t>
      </w:r>
      <w:r w:rsidR="006622A1" w:rsidRPr="005B62B5">
        <w:rPr>
          <w:i/>
        </w:rPr>
        <w:t>P</w:t>
      </w:r>
      <w:r w:rsidRPr="005B62B5">
        <w:rPr>
          <w:i/>
        </w:rPr>
        <w:t xml:space="preserve">rosperity and </w:t>
      </w:r>
      <w:r w:rsidR="006622A1" w:rsidRPr="005B62B5">
        <w:rPr>
          <w:i/>
        </w:rPr>
        <w:t>P</w:t>
      </w:r>
      <w:r w:rsidRPr="005B62B5">
        <w:rPr>
          <w:i/>
        </w:rPr>
        <w:t>overty</w:t>
      </w:r>
      <w:r w:rsidRPr="005B62B5">
        <w:t>. Vol. 4. New York: Crown Business, 2012.</w:t>
      </w:r>
    </w:p>
    <w:p w:rsidR="008210BA" w:rsidRPr="005B62B5" w:rsidRDefault="008210BA" w:rsidP="008210BA">
      <w:r w:rsidRPr="005B62B5">
        <w:t xml:space="preserve">Sebastian Edwards, </w:t>
      </w:r>
      <w:r w:rsidRPr="005B62B5">
        <w:rPr>
          <w:i/>
        </w:rPr>
        <w:t>Left Behind: Latin America and the False Promise of Populism</w:t>
      </w:r>
      <w:r w:rsidRPr="005B62B5">
        <w:t xml:space="preserve"> (University of Chicago Press, 2010)</w:t>
      </w:r>
    </w:p>
    <w:p w:rsidR="00AD37B9" w:rsidRPr="005B62B5" w:rsidRDefault="00AD37B9" w:rsidP="008210BA">
      <w:r w:rsidRPr="005B62B5">
        <w:t xml:space="preserve">Justin </w:t>
      </w:r>
      <w:proofErr w:type="spellStart"/>
      <w:r w:rsidRPr="005B62B5">
        <w:t>Yifu</w:t>
      </w:r>
      <w:proofErr w:type="spellEnd"/>
      <w:r w:rsidRPr="005B62B5">
        <w:t xml:space="preserve"> Lin, 2011. </w:t>
      </w:r>
      <w:r w:rsidRPr="005B62B5">
        <w:rPr>
          <w:i/>
        </w:rPr>
        <w:t>Demystifying the Chinese Economy</w:t>
      </w:r>
      <w:r w:rsidRPr="005B62B5">
        <w:t>.</w:t>
      </w:r>
      <w:r w:rsidR="006622A1" w:rsidRPr="005B62B5">
        <w:t xml:space="preserve"> New York: Cambridge University Press.</w:t>
      </w:r>
    </w:p>
    <w:p w:rsidR="005B62B5" w:rsidRDefault="008210BA" w:rsidP="005B62B5">
      <w:r w:rsidRPr="005B62B5">
        <w:t xml:space="preserve">Barry </w:t>
      </w:r>
      <w:proofErr w:type="spellStart"/>
      <w:r w:rsidRPr="005B62B5">
        <w:t>Naughton</w:t>
      </w:r>
      <w:proofErr w:type="spellEnd"/>
      <w:r w:rsidRPr="005B62B5">
        <w:t xml:space="preserve">, 2007. </w:t>
      </w:r>
      <w:r w:rsidRPr="005B62B5">
        <w:rPr>
          <w:i/>
        </w:rPr>
        <w:t>The Chinese Economy: Transition and Growth</w:t>
      </w:r>
      <w:r w:rsidRPr="005B62B5">
        <w:t xml:space="preserve">. </w:t>
      </w:r>
      <w:r w:rsidR="006622A1" w:rsidRPr="005B62B5">
        <w:t>Cambridge: MIT Press.</w:t>
      </w:r>
    </w:p>
    <w:p w:rsidR="008210BA" w:rsidRPr="005B62B5" w:rsidRDefault="005B62B5" w:rsidP="005B62B5">
      <w:pPr>
        <w:rPr>
          <w:b/>
        </w:rPr>
      </w:pPr>
      <w:r>
        <w:t>So</w:t>
      </w:r>
      <w:r w:rsidR="008210BA" w:rsidRPr="005B62B5">
        <w:t xml:space="preserve">uthgate, Graham, and </w:t>
      </w:r>
      <w:proofErr w:type="spellStart"/>
      <w:r w:rsidR="008210BA" w:rsidRPr="005B62B5">
        <w:t>Tweeten</w:t>
      </w:r>
      <w:proofErr w:type="spellEnd"/>
      <w:r w:rsidR="008210BA" w:rsidRPr="005B62B5">
        <w:t xml:space="preserve">, </w:t>
      </w:r>
      <w:proofErr w:type="gramStart"/>
      <w:r w:rsidR="008210BA" w:rsidRPr="005B62B5">
        <w:rPr>
          <w:i/>
        </w:rPr>
        <w:t>The</w:t>
      </w:r>
      <w:proofErr w:type="gramEnd"/>
      <w:r w:rsidR="008210BA" w:rsidRPr="005B62B5">
        <w:rPr>
          <w:i/>
        </w:rPr>
        <w:t xml:space="preserve"> World Food Economy, 2</w:t>
      </w:r>
      <w:r w:rsidR="008210BA" w:rsidRPr="005B62B5">
        <w:rPr>
          <w:i/>
          <w:vertAlign w:val="superscript"/>
        </w:rPr>
        <w:t>nd</w:t>
      </w:r>
      <w:r w:rsidR="008210BA" w:rsidRPr="005B62B5">
        <w:rPr>
          <w:i/>
        </w:rPr>
        <w:t xml:space="preserve"> Edition</w:t>
      </w:r>
      <w:r w:rsidR="008210BA" w:rsidRPr="005B62B5">
        <w:t xml:space="preserve"> (John Wiley, 2011).</w:t>
      </w:r>
    </w:p>
    <w:p w:rsidR="005B62B5" w:rsidRDefault="008210BA" w:rsidP="005B62B5">
      <w:r w:rsidRPr="005B62B5">
        <w:t xml:space="preserve">Robert Stock. </w:t>
      </w:r>
      <w:r w:rsidRPr="005B62B5">
        <w:rPr>
          <w:i/>
        </w:rPr>
        <w:t>Africa South of the Sahara: A Geographical Interpretation</w:t>
      </w:r>
      <w:r w:rsidRPr="005B62B5">
        <w:t>. New York: The Guilford Press, 2004.</w:t>
      </w:r>
    </w:p>
    <w:p w:rsidR="00EC0CF3" w:rsidRPr="005B62B5" w:rsidRDefault="00EC0CF3" w:rsidP="005B62B5">
      <w:pPr>
        <w:rPr>
          <w:b/>
        </w:rPr>
      </w:pPr>
      <w:r w:rsidRPr="005B62B5">
        <w:t xml:space="preserve">Michael P. </w:t>
      </w:r>
      <w:proofErr w:type="spellStart"/>
      <w:r w:rsidRPr="005B62B5">
        <w:t>Todaro</w:t>
      </w:r>
      <w:proofErr w:type="spellEnd"/>
      <w:r w:rsidRPr="005B62B5">
        <w:t xml:space="preserve"> and Stephen C. Smith. </w:t>
      </w:r>
      <w:r w:rsidRPr="005B62B5">
        <w:rPr>
          <w:i/>
        </w:rPr>
        <w:t>Economic Development, 11th Edition</w:t>
      </w:r>
      <w:r w:rsidRPr="005B62B5">
        <w:t>. Boston: Pearson Addison Wesley, 2011.</w:t>
      </w:r>
    </w:p>
    <w:p w:rsidR="004E6683" w:rsidRPr="005B62B5" w:rsidRDefault="004E6683" w:rsidP="004E6683">
      <w:r w:rsidRPr="005B62B5">
        <w:t>Journal articles as listed in the Course Schedule.</w:t>
      </w:r>
    </w:p>
    <w:p w:rsidR="00F20872" w:rsidRPr="00C52BE2" w:rsidRDefault="00740809" w:rsidP="00F20872">
      <w:pPr>
        <w:pStyle w:val="Heading2"/>
      </w:pPr>
      <w:r>
        <w:t>Grading</w:t>
      </w: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C52BE2" w:rsidTr="00082238">
        <w:trPr>
          <w:tblHeader/>
        </w:trPr>
        <w:tc>
          <w:tcPr>
            <w:tcW w:w="3510" w:type="pct"/>
            <w:shd w:val="clear" w:color="auto" w:fill="D9D9D9" w:themeFill="background1" w:themeFillShade="D9"/>
            <w:vAlign w:val="center"/>
          </w:tcPr>
          <w:p w:rsidR="00082238" w:rsidRPr="00C52BE2" w:rsidRDefault="00082238" w:rsidP="0097406A">
            <w:pPr>
              <w:pStyle w:val="TableData"/>
              <w:framePr w:hSpace="0" w:wrap="auto" w:vAnchor="margin" w:hAnchor="text" w:xAlign="left" w:yAlign="inline"/>
            </w:pPr>
            <w:r w:rsidRPr="00C52BE2">
              <w:t>Assignment or category</w:t>
            </w:r>
          </w:p>
        </w:tc>
        <w:tc>
          <w:tcPr>
            <w:tcW w:w="1490" w:type="pct"/>
            <w:shd w:val="clear" w:color="auto" w:fill="D9D9D9" w:themeFill="background1" w:themeFillShade="D9"/>
            <w:vAlign w:val="center"/>
          </w:tcPr>
          <w:p w:rsidR="00082238" w:rsidRPr="00C52BE2" w:rsidRDefault="005E6C62" w:rsidP="0097406A">
            <w:pPr>
              <w:pStyle w:val="TableData"/>
              <w:framePr w:hSpace="0" w:wrap="auto" w:vAnchor="margin" w:hAnchor="text" w:xAlign="left" w:yAlign="inline"/>
            </w:pPr>
            <w:r>
              <w:t>Percentage</w:t>
            </w:r>
          </w:p>
        </w:tc>
      </w:tr>
      <w:tr w:rsidR="00082238" w:rsidRPr="00C52BE2" w:rsidTr="00A42CAB">
        <w:trPr>
          <w:trHeight w:val="503"/>
        </w:trPr>
        <w:tc>
          <w:tcPr>
            <w:tcW w:w="3510" w:type="pct"/>
            <w:vAlign w:val="center"/>
          </w:tcPr>
          <w:p w:rsidR="00082238" w:rsidRPr="00C52BE2" w:rsidRDefault="00A42CAB" w:rsidP="00A42CAB">
            <w:pPr>
              <w:pStyle w:val="TableData"/>
              <w:framePr w:hSpace="0" w:wrap="auto" w:vAnchor="margin" w:hAnchor="text" w:xAlign="left" w:yAlign="inline"/>
            </w:pPr>
            <w:r>
              <w:t>3</w:t>
            </w:r>
            <w:r w:rsidR="005E6C62">
              <w:t xml:space="preserve"> Exams</w:t>
            </w:r>
            <w:r>
              <w:t xml:space="preserve"> (</w:t>
            </w:r>
            <w:r w:rsidR="00A96C9A">
              <w:t xml:space="preserve">1 per </w:t>
            </w:r>
            <w:r w:rsidR="005E6C62">
              <w:t>region</w:t>
            </w:r>
            <w:r w:rsidR="000535CA">
              <w:t xml:space="preserve"> @</w:t>
            </w:r>
            <w:r w:rsidR="005E6C62">
              <w:t xml:space="preserve"> 2</w:t>
            </w:r>
            <w:r w:rsidR="000535CA">
              <w:t>0</w:t>
            </w:r>
            <w:r w:rsidR="005E6C62">
              <w:t>% each</w:t>
            </w:r>
            <w:r>
              <w:t>)</w:t>
            </w:r>
          </w:p>
        </w:tc>
        <w:tc>
          <w:tcPr>
            <w:tcW w:w="1490" w:type="pct"/>
            <w:vAlign w:val="center"/>
          </w:tcPr>
          <w:p w:rsidR="00082238" w:rsidRPr="00C52BE2" w:rsidRDefault="00A42CAB" w:rsidP="0097406A">
            <w:pPr>
              <w:pStyle w:val="TableData"/>
              <w:framePr w:hSpace="0" w:wrap="auto" w:vAnchor="margin" w:hAnchor="text" w:xAlign="left" w:yAlign="inline"/>
            </w:pPr>
            <w:r>
              <w:t>60</w:t>
            </w:r>
          </w:p>
        </w:tc>
      </w:tr>
      <w:tr w:rsidR="00A42CAB" w:rsidRPr="00C52BE2" w:rsidTr="00A42CAB">
        <w:trPr>
          <w:trHeight w:val="530"/>
        </w:trPr>
        <w:tc>
          <w:tcPr>
            <w:tcW w:w="3510" w:type="pct"/>
            <w:vAlign w:val="center"/>
          </w:tcPr>
          <w:p w:rsidR="00A42CAB" w:rsidRDefault="00A42CAB" w:rsidP="0097406A">
            <w:pPr>
              <w:pStyle w:val="TableData"/>
              <w:framePr w:hSpace="0" w:wrap="auto" w:vAnchor="margin" w:hAnchor="text" w:xAlign="left" w:yAlign="inline"/>
            </w:pPr>
            <w:r>
              <w:t>Final Exam (cumulative, given during finals week)</w:t>
            </w:r>
          </w:p>
        </w:tc>
        <w:tc>
          <w:tcPr>
            <w:tcW w:w="1490" w:type="pct"/>
            <w:vAlign w:val="center"/>
          </w:tcPr>
          <w:p w:rsidR="00A42CAB" w:rsidRDefault="00A42CAB" w:rsidP="0097406A">
            <w:pPr>
              <w:pStyle w:val="TableData"/>
              <w:framePr w:hSpace="0" w:wrap="auto" w:vAnchor="margin" w:hAnchor="text" w:xAlign="left" w:yAlign="inline"/>
            </w:pPr>
            <w:r>
              <w:t>30</w:t>
            </w:r>
          </w:p>
        </w:tc>
      </w:tr>
      <w:tr w:rsidR="00082238" w:rsidRPr="00C52BE2" w:rsidTr="00082238">
        <w:tc>
          <w:tcPr>
            <w:tcW w:w="3510" w:type="pct"/>
            <w:vAlign w:val="center"/>
          </w:tcPr>
          <w:p w:rsidR="00082238" w:rsidRPr="00C52BE2" w:rsidRDefault="005E6C62" w:rsidP="0097406A">
            <w:pPr>
              <w:pStyle w:val="TableData"/>
              <w:framePr w:hSpace="0" w:wrap="auto" w:vAnchor="margin" w:hAnchor="text" w:xAlign="left" w:yAlign="inline"/>
            </w:pPr>
            <w:r>
              <w:t>Class Participation</w:t>
            </w:r>
            <w:r w:rsidR="000535CA">
              <w:t xml:space="preserve"> Quizzes</w:t>
            </w:r>
          </w:p>
        </w:tc>
        <w:tc>
          <w:tcPr>
            <w:tcW w:w="1490" w:type="pct"/>
            <w:vAlign w:val="center"/>
          </w:tcPr>
          <w:p w:rsidR="00082238" w:rsidRPr="00C52BE2" w:rsidRDefault="005E6C62" w:rsidP="0097406A">
            <w:pPr>
              <w:pStyle w:val="TableData"/>
              <w:framePr w:hSpace="0" w:wrap="auto" w:vAnchor="margin" w:hAnchor="text" w:xAlign="left" w:yAlign="inline"/>
            </w:pPr>
            <w:r>
              <w:t>10</w:t>
            </w:r>
          </w:p>
        </w:tc>
      </w:tr>
      <w:tr w:rsidR="00082238" w:rsidRPr="00C52BE2" w:rsidTr="00082238">
        <w:tc>
          <w:tcPr>
            <w:tcW w:w="3510" w:type="pct"/>
            <w:vAlign w:val="center"/>
          </w:tcPr>
          <w:p w:rsidR="00082238" w:rsidRPr="00C52BE2" w:rsidRDefault="00082238" w:rsidP="0097406A">
            <w:pPr>
              <w:pStyle w:val="TableData"/>
              <w:framePr w:hSpace="0" w:wrap="auto" w:vAnchor="margin" w:hAnchor="text" w:xAlign="left" w:yAlign="inline"/>
            </w:pPr>
            <w:r w:rsidRPr="00C52BE2">
              <w:t>Total</w:t>
            </w:r>
          </w:p>
        </w:tc>
        <w:tc>
          <w:tcPr>
            <w:tcW w:w="1490" w:type="pct"/>
            <w:vAlign w:val="center"/>
          </w:tcPr>
          <w:p w:rsidR="00082238" w:rsidRPr="00C52BE2" w:rsidRDefault="00082238" w:rsidP="0097406A">
            <w:pPr>
              <w:pStyle w:val="TableData"/>
              <w:framePr w:hSpace="0" w:wrap="auto" w:vAnchor="margin" w:hAnchor="text" w:xAlign="left" w:yAlign="inline"/>
            </w:pPr>
            <w:r w:rsidRPr="00C52BE2">
              <w:t>100</w:t>
            </w:r>
          </w:p>
        </w:tc>
      </w:tr>
    </w:tbl>
    <w:p w:rsidR="00302555" w:rsidRDefault="00302555" w:rsidP="00302555"/>
    <w:p w:rsidR="00A42CAB" w:rsidRPr="00302555" w:rsidRDefault="00A42CAB" w:rsidP="00302555">
      <w:r w:rsidRPr="004E7711">
        <w:rPr>
          <w:b/>
        </w:rPr>
        <w:t>Exam Format:</w:t>
      </w:r>
      <w:r>
        <w:t xml:space="preserve"> Exams will be a combination of multiple-choice questions, short answer questions, and essays.</w:t>
      </w:r>
    </w:p>
    <w:p w:rsidR="00F20872" w:rsidRPr="00C52BE2" w:rsidRDefault="00F20872" w:rsidP="00F20872">
      <w:pPr>
        <w:pStyle w:val="Heading2"/>
      </w:pPr>
      <w:r w:rsidRPr="00C52BE2">
        <w:t>Grading scale</w:t>
      </w:r>
    </w:p>
    <w:p w:rsidR="00264390" w:rsidRDefault="00B45693" w:rsidP="00740809">
      <w:pPr>
        <w:rPr>
          <w:rFonts w:asciiTheme="minorHAnsi" w:hAnsiTheme="minorHAnsi"/>
        </w:rPr>
      </w:pPr>
      <w:r w:rsidRPr="00C52BE2">
        <w:rPr>
          <w:rFonts w:asciiTheme="minorHAnsi" w:hAnsiTheme="minorHAnsi"/>
        </w:rPr>
        <w:t>93–</w:t>
      </w:r>
      <w:r w:rsidR="002B153E" w:rsidRPr="00C52BE2">
        <w:rPr>
          <w:rFonts w:asciiTheme="minorHAnsi" w:hAnsiTheme="minorHAnsi"/>
        </w:rPr>
        <w:t xml:space="preserve">100: A </w:t>
      </w:r>
      <w:r w:rsidR="002B153E" w:rsidRPr="00C52BE2">
        <w:rPr>
          <w:rFonts w:asciiTheme="minorHAnsi" w:hAnsiTheme="minorHAnsi"/>
        </w:rPr>
        <w:br/>
      </w:r>
      <w:r w:rsidRPr="00C52BE2">
        <w:rPr>
          <w:rFonts w:asciiTheme="minorHAnsi" w:hAnsiTheme="minorHAnsi"/>
        </w:rPr>
        <w:t xml:space="preserve">90–92.9: A- </w:t>
      </w:r>
      <w:r w:rsidR="002B153E" w:rsidRPr="00C52BE2">
        <w:rPr>
          <w:rFonts w:asciiTheme="minorHAnsi" w:hAnsiTheme="minorHAnsi"/>
        </w:rPr>
        <w:br/>
        <w:t>87–89.9: B+</w:t>
      </w:r>
      <w:r w:rsidR="002B153E" w:rsidRPr="00C52BE2">
        <w:rPr>
          <w:rFonts w:asciiTheme="minorHAnsi" w:hAnsiTheme="minorHAnsi"/>
        </w:rPr>
        <w:br/>
        <w:t>83–86.9: B</w:t>
      </w:r>
      <w:r w:rsidR="002B153E" w:rsidRPr="00C52BE2">
        <w:rPr>
          <w:rFonts w:asciiTheme="minorHAnsi" w:hAnsiTheme="minorHAnsi"/>
        </w:rPr>
        <w:br/>
      </w:r>
      <w:r w:rsidRPr="00C52BE2">
        <w:rPr>
          <w:rFonts w:asciiTheme="minorHAnsi" w:hAnsiTheme="minorHAnsi"/>
        </w:rPr>
        <w:t xml:space="preserve">80–82.9: B- </w:t>
      </w:r>
      <w:r w:rsidR="002B153E" w:rsidRPr="00C52BE2">
        <w:rPr>
          <w:rFonts w:asciiTheme="minorHAnsi" w:hAnsiTheme="minorHAnsi"/>
        </w:rPr>
        <w:br/>
        <w:t xml:space="preserve">77–79.9: C+ </w:t>
      </w:r>
      <w:r w:rsidR="002B153E" w:rsidRPr="00C52BE2">
        <w:rPr>
          <w:rFonts w:asciiTheme="minorHAnsi" w:hAnsiTheme="minorHAnsi"/>
        </w:rPr>
        <w:br/>
        <w:t>73–76.9: C</w:t>
      </w:r>
      <w:r w:rsidR="002B153E" w:rsidRPr="00C52BE2">
        <w:rPr>
          <w:rFonts w:asciiTheme="minorHAnsi" w:hAnsiTheme="minorHAnsi"/>
        </w:rPr>
        <w:br/>
      </w:r>
      <w:r w:rsidRPr="00C52BE2">
        <w:rPr>
          <w:rFonts w:asciiTheme="minorHAnsi" w:hAnsiTheme="minorHAnsi"/>
        </w:rPr>
        <w:lastRenderedPageBreak/>
        <w:t xml:space="preserve">70 –72.9: C- </w:t>
      </w:r>
      <w:r w:rsidR="002B153E" w:rsidRPr="00C52BE2">
        <w:rPr>
          <w:rFonts w:asciiTheme="minorHAnsi" w:hAnsiTheme="minorHAnsi"/>
        </w:rPr>
        <w:br/>
        <w:t xml:space="preserve">67 –69.9: D+ </w:t>
      </w:r>
      <w:r w:rsidR="002B153E" w:rsidRPr="00C52BE2">
        <w:rPr>
          <w:rFonts w:asciiTheme="minorHAnsi" w:hAnsiTheme="minorHAnsi"/>
        </w:rPr>
        <w:br/>
        <w:t>60 –66.9: D</w:t>
      </w:r>
      <w:r w:rsidR="002B153E" w:rsidRPr="00C52BE2">
        <w:rPr>
          <w:rFonts w:asciiTheme="minorHAnsi" w:hAnsiTheme="minorHAnsi"/>
        </w:rPr>
        <w:br/>
      </w:r>
      <w:proofErr w:type="gramStart"/>
      <w:r w:rsidRPr="00C52BE2">
        <w:rPr>
          <w:rFonts w:asciiTheme="minorHAnsi" w:hAnsiTheme="minorHAnsi"/>
        </w:rPr>
        <w:t>Below</w:t>
      </w:r>
      <w:proofErr w:type="gramEnd"/>
      <w:r w:rsidRPr="00C52BE2">
        <w:rPr>
          <w:rFonts w:asciiTheme="minorHAnsi" w:hAnsiTheme="minorHAnsi"/>
        </w:rPr>
        <w:t xml:space="preserve"> 60: E</w:t>
      </w:r>
    </w:p>
    <w:p w:rsidR="00F20872" w:rsidRPr="005E6C62" w:rsidRDefault="00D47203" w:rsidP="00F20872">
      <w:pPr>
        <w:pStyle w:val="Heading2"/>
      </w:pPr>
      <w:r w:rsidRPr="005E6C62">
        <w:t>Student p</w:t>
      </w:r>
      <w:r w:rsidR="00F20872" w:rsidRPr="005E6C62">
        <w:t>articipation requirements</w:t>
      </w:r>
    </w:p>
    <w:p w:rsidR="00740809" w:rsidRPr="00740809" w:rsidRDefault="00740809" w:rsidP="00AF0C1A">
      <w:pPr>
        <w:pStyle w:val="ListParagraph"/>
        <w:numPr>
          <w:ilvl w:val="0"/>
          <w:numId w:val="25"/>
        </w:numPr>
        <w:rPr>
          <w:rStyle w:val="note"/>
          <w:rFonts w:asciiTheme="minorHAnsi" w:hAnsiTheme="minorHAnsi"/>
        </w:rPr>
      </w:pPr>
      <w:r w:rsidRPr="00740809">
        <w:rPr>
          <w:rStyle w:val="Strong"/>
          <w:rFonts w:asciiTheme="minorHAnsi" w:hAnsiTheme="minorHAnsi" w:cs="Tahoma"/>
          <w:color w:val="000000"/>
        </w:rPr>
        <w:t xml:space="preserve">Class Attendance: </w:t>
      </w:r>
      <w:r w:rsidR="00302555">
        <w:rPr>
          <w:rStyle w:val="Strong"/>
          <w:rFonts w:asciiTheme="minorHAnsi" w:hAnsiTheme="minorHAnsi" w:cs="Tahoma"/>
          <w:b w:val="0"/>
          <w:color w:val="000000"/>
        </w:rPr>
        <w:t>Attendance is critical for class success.</w:t>
      </w:r>
    </w:p>
    <w:p w:rsidR="00740809" w:rsidRPr="00740809" w:rsidRDefault="00740809" w:rsidP="00AF0C1A">
      <w:pPr>
        <w:pStyle w:val="ListParagraph"/>
        <w:numPr>
          <w:ilvl w:val="0"/>
          <w:numId w:val="25"/>
        </w:numPr>
        <w:rPr>
          <w:rStyle w:val="Strong"/>
          <w:rFonts w:asciiTheme="minorHAnsi" w:hAnsiTheme="minorHAnsi"/>
          <w:b w:val="0"/>
          <w:bCs w:val="0"/>
        </w:rPr>
      </w:pPr>
      <w:r w:rsidRPr="00740809">
        <w:rPr>
          <w:rStyle w:val="Strong"/>
          <w:rFonts w:asciiTheme="minorHAnsi" w:hAnsiTheme="minorHAnsi" w:cs="Tahoma"/>
          <w:color w:val="000000"/>
        </w:rPr>
        <w:t>Class Participation:</w:t>
      </w:r>
      <w:r w:rsidR="00302555">
        <w:rPr>
          <w:rStyle w:val="Strong"/>
          <w:rFonts w:asciiTheme="minorHAnsi" w:hAnsiTheme="minorHAnsi" w:cs="Tahoma"/>
          <w:color w:val="000000"/>
        </w:rPr>
        <w:t xml:space="preserve"> </w:t>
      </w:r>
      <w:r w:rsidR="00302555" w:rsidRPr="00302555">
        <w:rPr>
          <w:rStyle w:val="Strong"/>
          <w:rFonts w:asciiTheme="minorHAnsi" w:hAnsiTheme="minorHAnsi" w:cs="Tahoma"/>
          <w:b w:val="0"/>
          <w:color w:val="000000"/>
        </w:rPr>
        <w:t>Sever</w:t>
      </w:r>
      <w:r w:rsidR="00302555">
        <w:rPr>
          <w:rStyle w:val="Strong"/>
          <w:rFonts w:asciiTheme="minorHAnsi" w:hAnsiTheme="minorHAnsi" w:cs="Tahoma"/>
          <w:b w:val="0"/>
          <w:color w:val="000000"/>
        </w:rPr>
        <w:t>al unannounced quizzes will be given during the course of the semester.  Two quizzes may be dropped.</w:t>
      </w:r>
    </w:p>
    <w:p w:rsidR="00F20872" w:rsidRPr="00C52BE2" w:rsidRDefault="00740809" w:rsidP="00F20872">
      <w:pPr>
        <w:pStyle w:val="ListParagraph"/>
        <w:numPr>
          <w:ilvl w:val="0"/>
          <w:numId w:val="25"/>
        </w:numPr>
        <w:rPr>
          <w:rFonts w:asciiTheme="minorHAnsi" w:hAnsiTheme="minorHAnsi"/>
        </w:rPr>
      </w:pPr>
      <w:r>
        <w:rPr>
          <w:rStyle w:val="Strong"/>
          <w:rFonts w:asciiTheme="minorHAnsi" w:hAnsiTheme="minorHAnsi" w:cs="Tahoma"/>
          <w:color w:val="000000"/>
        </w:rPr>
        <w:t xml:space="preserve">Office Hours: </w:t>
      </w:r>
      <w:r w:rsidR="00F20872" w:rsidRPr="00C52BE2">
        <w:rPr>
          <w:rStyle w:val="apple-converted-space"/>
          <w:rFonts w:asciiTheme="minorHAnsi" w:hAnsiTheme="minorHAnsi" w:cs="Tahoma"/>
          <w:color w:val="000000"/>
        </w:rPr>
        <w:t> </w:t>
      </w:r>
      <w:r>
        <w:rPr>
          <w:rStyle w:val="note"/>
          <w:rFonts w:asciiTheme="minorHAnsi" w:hAnsiTheme="minorHAnsi" w:cs="Tahoma"/>
          <w:b/>
          <w:bCs/>
          <w:caps/>
          <w:color w:val="A81400"/>
        </w:rPr>
        <w:t>By appointment</w:t>
      </w:r>
    </w:p>
    <w:p w:rsidR="00996A6B" w:rsidRPr="00C52BE2" w:rsidRDefault="00996A6B" w:rsidP="00996A6B">
      <w:pPr>
        <w:pStyle w:val="Heading2"/>
        <w:rPr>
          <w:rFonts w:cs="Arial"/>
        </w:rPr>
      </w:pPr>
      <w:r w:rsidRPr="00C52BE2">
        <w:t xml:space="preserve">Academic </w:t>
      </w:r>
      <w:r w:rsidR="0097406A">
        <w:t>I</w:t>
      </w:r>
      <w:r w:rsidRPr="00C52BE2">
        <w:t xml:space="preserve">ntegrity </w:t>
      </w:r>
      <w:r w:rsidR="0097406A">
        <w:t>P</w:t>
      </w:r>
      <w:r w:rsidRPr="00C52BE2">
        <w:t>olicy</w:t>
      </w:r>
    </w:p>
    <w:p w:rsidR="00996A6B" w:rsidRDefault="00996A6B" w:rsidP="00996A6B">
      <w:pPr>
        <w:rPr>
          <w:rFonts w:asciiTheme="minorHAnsi" w:hAnsiTheme="minorHAnsi"/>
          <w:color w:val="000000"/>
        </w:rPr>
      </w:pPr>
      <w:r w:rsidRPr="00C52BE2">
        <w:rPr>
          <w:rFonts w:asciiTheme="minorHAnsi" w:hAnsiTheme="minorHAnsi"/>
          <w:color w:val="000000"/>
        </w:rPr>
        <w:t>The Ohio State University’s </w:t>
      </w:r>
      <w:r w:rsidRPr="00C52BE2">
        <w:rPr>
          <w:rStyle w:val="Emphasis"/>
          <w:rFonts w:asciiTheme="minorHAnsi" w:hAnsiTheme="minorHAnsi" w:cs="Tahoma"/>
          <w:color w:val="000000"/>
        </w:rPr>
        <w:t>Code of Student Conduct</w:t>
      </w:r>
      <w:r w:rsidRPr="00C52BE2">
        <w:rPr>
          <w:rFonts w:asciiTheme="minorHAnsi" w:hAnsiTheme="minorHAnsi"/>
          <w:color w:val="000000"/>
        </w:rPr>
        <w: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C52BE2">
        <w:rPr>
          <w:rStyle w:val="Emphasis"/>
          <w:rFonts w:asciiTheme="minorHAnsi" w:hAnsiTheme="minorHAnsi" w:cs="Tahoma"/>
          <w:color w:val="000000"/>
        </w:rPr>
        <w:t>Code of Student Conduct</w:t>
      </w:r>
      <w:r w:rsidRPr="00C52BE2">
        <w:rPr>
          <w:rFonts w:asciiTheme="minorHAnsi" w:hAnsiTheme="minorHAnsi"/>
          <w:color w:val="000000"/>
        </w:rPr>
        <w:t> is never considered an “excuse” for academic misconduct, so I recommend that you review the </w:t>
      </w:r>
      <w:r w:rsidRPr="00C52BE2">
        <w:rPr>
          <w:rStyle w:val="Emphasis"/>
          <w:rFonts w:asciiTheme="minorHAnsi" w:hAnsiTheme="minorHAnsi" w:cs="Tahoma"/>
          <w:color w:val="000000"/>
        </w:rPr>
        <w:t>Code of Student Conduct</w:t>
      </w:r>
      <w:r w:rsidRPr="00C52BE2">
        <w:rPr>
          <w:rFonts w:asciiTheme="minorHAnsi" w:hAnsiTheme="minorHAnsi"/>
          <w:color w:val="000000"/>
        </w:rPr>
        <w:t> and, specifically, the sections dealing with academic misconduct.</w:t>
      </w:r>
      <w:r w:rsidR="00740809">
        <w:rPr>
          <w:rFonts w:asciiTheme="minorHAnsi" w:hAnsiTheme="minorHAnsi"/>
          <w:color w:val="000000"/>
        </w:rPr>
        <w:t xml:space="preserve"> </w:t>
      </w:r>
      <w:r w:rsidRPr="00C52BE2">
        <w:rPr>
          <w:rFonts w:asciiTheme="minorHAnsi" w:hAnsiTheme="minorHAnsi"/>
          <w:color w:val="000000"/>
        </w:rPr>
        <w:t>If you have any questions about the above policy or what constitutes academic misconduct in this course, please contact me.</w:t>
      </w:r>
    </w:p>
    <w:p w:rsidR="0097406A" w:rsidRPr="00C52BE2" w:rsidRDefault="0097406A" w:rsidP="00996A6B">
      <w:pPr>
        <w:rPr>
          <w:rFonts w:asciiTheme="minorHAnsi" w:hAnsiTheme="minorHAnsi"/>
          <w:color w:val="000000"/>
        </w:rPr>
      </w:pPr>
      <w:r>
        <w:rPr>
          <w:rFonts w:eastAsia="Times New Roman"/>
        </w:rPr>
        <w:t xml:space="preserve">Link to the Code of Student Conduct: </w:t>
      </w:r>
      <w:hyperlink r:id="rId8" w:history="1">
        <w:r>
          <w:rPr>
            <w:rStyle w:val="Hyperlink"/>
            <w:rFonts w:eastAsia="Times New Roman"/>
          </w:rPr>
          <w:t>http://studentlife.osu.edu/csc/</w:t>
        </w:r>
      </w:hyperlink>
    </w:p>
    <w:p w:rsidR="00C8365E" w:rsidRPr="00C52BE2" w:rsidRDefault="00996A6B" w:rsidP="00996A6B">
      <w:pPr>
        <w:pStyle w:val="Heading2"/>
      </w:pPr>
      <w:r w:rsidRPr="00C52BE2">
        <w:t>Accommodations for accessibility</w:t>
      </w:r>
    </w:p>
    <w:p w:rsidR="00996A6B" w:rsidRPr="0097406A" w:rsidRDefault="00996A6B" w:rsidP="00996A6B">
      <w:pPr>
        <w:pStyle w:val="Heading3"/>
        <w:rPr>
          <w:sz w:val="32"/>
          <w:szCs w:val="32"/>
        </w:rPr>
      </w:pPr>
      <w:r w:rsidRPr="0097406A">
        <w:rPr>
          <w:sz w:val="32"/>
          <w:szCs w:val="32"/>
        </w:rPr>
        <w:t>Requesting accommodations</w:t>
      </w:r>
    </w:p>
    <w:p w:rsidR="00996A6B" w:rsidRPr="0097406A" w:rsidRDefault="00996A6B" w:rsidP="00996A6B">
      <w:pPr>
        <w:rPr>
          <w:rFonts w:asciiTheme="minorHAnsi" w:hAnsiTheme="minorHAnsi"/>
          <w:color w:val="000000"/>
          <w:sz w:val="32"/>
          <w:szCs w:val="32"/>
        </w:rPr>
      </w:pPr>
      <w:r w:rsidRPr="0097406A">
        <w:rPr>
          <w:rFonts w:asciiTheme="minorHAnsi" w:hAnsiTheme="minorHAnsi"/>
          <w:color w:val="000000"/>
          <w:sz w:val="32"/>
          <w:szCs w:val="32"/>
        </w:rPr>
        <w:t>If you would like to request academic accommodations based on the impact of a disability qualified under the Americans with Disabilities Act and Section 504 of the Rehabilitation Act of 1973, contact your instructor privately as soon as possible to discuss your specific needs. Discussions are confidential.</w:t>
      </w:r>
    </w:p>
    <w:p w:rsidR="00996A6B" w:rsidRPr="0097406A" w:rsidRDefault="00996A6B" w:rsidP="00996A6B">
      <w:pPr>
        <w:rPr>
          <w:rFonts w:asciiTheme="minorHAnsi" w:hAnsiTheme="minorHAnsi"/>
          <w:color w:val="000000"/>
          <w:sz w:val="32"/>
          <w:szCs w:val="32"/>
        </w:rPr>
      </w:pPr>
      <w:r w:rsidRPr="0097406A">
        <w:rPr>
          <w:rFonts w:asciiTheme="minorHAnsi" w:hAnsiTheme="minorHAnsi"/>
          <w:color w:val="000000"/>
          <w:sz w:val="32"/>
          <w:szCs w:val="32"/>
        </w:rPr>
        <w:t>In addition to contacting the instructor, please contact the Office for Disability Services at</w:t>
      </w:r>
      <w:r w:rsidRPr="0097406A">
        <w:rPr>
          <w:rStyle w:val="apple-converted-space"/>
          <w:rFonts w:asciiTheme="minorHAnsi" w:hAnsiTheme="minorHAnsi" w:cs="Tahoma"/>
          <w:color w:val="000000"/>
          <w:sz w:val="32"/>
          <w:szCs w:val="32"/>
        </w:rPr>
        <w:t> </w:t>
      </w:r>
      <w:r w:rsidRPr="0097406A">
        <w:rPr>
          <w:rStyle w:val="gc-cs-link"/>
          <w:rFonts w:asciiTheme="minorHAnsi" w:hAnsiTheme="minorHAnsi" w:cs="Tahoma"/>
          <w:color w:val="0033BB"/>
          <w:sz w:val="32"/>
          <w:szCs w:val="32"/>
          <w:u w:val="single"/>
        </w:rPr>
        <w:t>614-292-3307</w:t>
      </w:r>
      <w:r w:rsidRPr="0097406A">
        <w:rPr>
          <w:rStyle w:val="apple-converted-space"/>
          <w:rFonts w:asciiTheme="minorHAnsi" w:hAnsiTheme="minorHAnsi" w:cs="Tahoma"/>
          <w:color w:val="000000"/>
          <w:sz w:val="32"/>
          <w:szCs w:val="32"/>
        </w:rPr>
        <w:t> </w:t>
      </w:r>
      <w:r w:rsidRPr="0097406A">
        <w:rPr>
          <w:rFonts w:asciiTheme="minorHAnsi" w:hAnsiTheme="minorHAnsi"/>
          <w:color w:val="000000"/>
          <w:sz w:val="32"/>
          <w:szCs w:val="32"/>
        </w:rPr>
        <w:t>or</w:t>
      </w:r>
      <w:r w:rsidRPr="0097406A">
        <w:rPr>
          <w:rStyle w:val="apple-converted-space"/>
          <w:rFonts w:asciiTheme="minorHAnsi" w:hAnsiTheme="minorHAnsi" w:cs="Tahoma"/>
          <w:color w:val="000000"/>
          <w:sz w:val="32"/>
          <w:szCs w:val="32"/>
        </w:rPr>
        <w:t> </w:t>
      </w:r>
      <w:hyperlink r:id="rId9" w:history="1">
        <w:r w:rsidRPr="0097406A">
          <w:rPr>
            <w:rStyle w:val="Hyperlink"/>
            <w:rFonts w:asciiTheme="minorHAnsi" w:hAnsiTheme="minorHAnsi" w:cs="Tahoma"/>
            <w:color w:val="990000"/>
            <w:sz w:val="32"/>
            <w:szCs w:val="32"/>
          </w:rPr>
          <w:t>ods@osu.edu</w:t>
        </w:r>
      </w:hyperlink>
      <w:r w:rsidRPr="0097406A">
        <w:rPr>
          <w:rStyle w:val="apple-converted-space"/>
          <w:rFonts w:asciiTheme="minorHAnsi" w:hAnsiTheme="minorHAnsi" w:cs="Tahoma"/>
          <w:color w:val="000000"/>
          <w:sz w:val="32"/>
          <w:szCs w:val="32"/>
        </w:rPr>
        <w:t> </w:t>
      </w:r>
      <w:r w:rsidRPr="0097406A">
        <w:rPr>
          <w:rFonts w:asciiTheme="minorHAnsi" w:hAnsiTheme="minorHAnsi"/>
          <w:color w:val="000000"/>
          <w:sz w:val="32"/>
          <w:szCs w:val="32"/>
        </w:rPr>
        <w:t>to register for services and/or to coordinate any accommodations you might need in your courses at The Ohio State University.</w:t>
      </w:r>
    </w:p>
    <w:p w:rsidR="0097406A" w:rsidRPr="0097406A" w:rsidRDefault="0097406A" w:rsidP="00996A6B">
      <w:pPr>
        <w:rPr>
          <w:rFonts w:asciiTheme="minorHAnsi" w:hAnsiTheme="minorHAnsi"/>
          <w:color w:val="000000"/>
          <w:sz w:val="32"/>
          <w:szCs w:val="32"/>
        </w:rPr>
      </w:pPr>
      <w:r w:rsidRPr="0097406A">
        <w:rPr>
          <w:rFonts w:eastAsia="Times New Roman"/>
          <w:sz w:val="32"/>
          <w:szCs w:val="32"/>
        </w:rPr>
        <w:lastRenderedPageBreak/>
        <w:t xml:space="preserve">Link to the Office of Disability Services website </w:t>
      </w:r>
      <w:hyperlink r:id="rId10" w:history="1">
        <w:r w:rsidRPr="0097406A">
          <w:rPr>
            <w:rStyle w:val="Hyperlink"/>
            <w:rFonts w:eastAsia="Times New Roman"/>
            <w:sz w:val="32"/>
            <w:szCs w:val="32"/>
          </w:rPr>
          <w:t>http://www.ods.ohio-state.edu/</w:t>
        </w:r>
      </w:hyperlink>
    </w:p>
    <w:p w:rsidR="00A029BE" w:rsidRPr="005E6C62" w:rsidRDefault="00362A4E" w:rsidP="00160E18">
      <w:pPr>
        <w:pStyle w:val="Heading1"/>
        <w:rPr>
          <w:rFonts w:asciiTheme="minorHAnsi" w:hAnsiTheme="minorHAnsi" w:cs="Arial"/>
          <w:sz w:val="40"/>
          <w:szCs w:val="40"/>
        </w:rPr>
      </w:pPr>
      <w:r w:rsidRPr="005E6C62">
        <w:rPr>
          <w:rFonts w:asciiTheme="minorHAnsi" w:hAnsiTheme="minorHAnsi" w:cs="Arial"/>
          <w:sz w:val="40"/>
          <w:szCs w:val="40"/>
        </w:rPr>
        <w:t>C</w:t>
      </w:r>
      <w:r w:rsidR="00A029BE" w:rsidRPr="005E6C62">
        <w:rPr>
          <w:rFonts w:asciiTheme="minorHAnsi" w:hAnsiTheme="minorHAnsi" w:cs="Arial"/>
          <w:sz w:val="40"/>
          <w:szCs w:val="40"/>
        </w:rPr>
        <w:t xml:space="preserve">ourse </w:t>
      </w:r>
      <w:r w:rsidRPr="005E6C62">
        <w:rPr>
          <w:rFonts w:asciiTheme="minorHAnsi" w:hAnsiTheme="minorHAnsi" w:cs="Arial"/>
          <w:sz w:val="40"/>
          <w:szCs w:val="40"/>
        </w:rPr>
        <w:t>s</w:t>
      </w:r>
      <w:r w:rsidR="00A029BE" w:rsidRPr="005E6C62">
        <w:rPr>
          <w:rFonts w:asciiTheme="minorHAnsi" w:hAnsiTheme="minorHAnsi" w:cs="Arial"/>
          <w:sz w:val="40"/>
          <w:szCs w:val="40"/>
        </w:rPr>
        <w:t>chedule</w:t>
      </w:r>
    </w:p>
    <w:tbl>
      <w:tblPr>
        <w:tblStyle w:val="TableGrid"/>
        <w:tblpPr w:leftFromText="180" w:rightFromText="180" w:vertAnchor="text" w:horzAnchor="page" w:tblpX="1549" w:tblpY="59"/>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813"/>
        <w:gridCol w:w="8537"/>
      </w:tblGrid>
      <w:tr w:rsidR="0067486E" w:rsidRPr="005B62B5" w:rsidTr="00B22681">
        <w:trPr>
          <w:tblHeader/>
        </w:trPr>
        <w:tc>
          <w:tcPr>
            <w:tcW w:w="427" w:type="pct"/>
            <w:shd w:val="clear" w:color="auto" w:fill="D9D9D9" w:themeFill="background1" w:themeFillShade="D9"/>
            <w:vAlign w:val="center"/>
          </w:tcPr>
          <w:p w:rsidR="0067486E"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Week</w:t>
            </w:r>
          </w:p>
        </w:tc>
        <w:tc>
          <w:tcPr>
            <w:tcW w:w="4573" w:type="pct"/>
            <w:shd w:val="clear" w:color="auto" w:fill="D9D9D9" w:themeFill="background1" w:themeFillShade="D9"/>
            <w:vAlign w:val="center"/>
          </w:tcPr>
          <w:p w:rsidR="0067486E" w:rsidRPr="005B62B5" w:rsidRDefault="0067486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Topics, Readings, Assignments, Deadlines</w:t>
            </w:r>
          </w:p>
        </w:tc>
      </w:tr>
      <w:tr w:rsidR="0067486E" w:rsidRPr="005B62B5" w:rsidTr="00B22681">
        <w:tc>
          <w:tcPr>
            <w:tcW w:w="427" w:type="pct"/>
            <w:vAlign w:val="center"/>
          </w:tcPr>
          <w:p w:rsidR="0067486E" w:rsidRPr="005B62B5" w:rsidRDefault="0067486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w:t>
            </w:r>
          </w:p>
        </w:tc>
        <w:tc>
          <w:tcPr>
            <w:tcW w:w="4573" w:type="pct"/>
            <w:vAlign w:val="center"/>
          </w:tcPr>
          <w:p w:rsidR="00A96C9A" w:rsidRPr="005B62B5" w:rsidRDefault="005E6C6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Overview of general challenges to economic development</w:t>
            </w:r>
          </w:p>
          <w:p w:rsidR="00922787" w:rsidRPr="005B62B5" w:rsidRDefault="00922787"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Todaro</w:t>
            </w:r>
            <w:proofErr w:type="spellEnd"/>
            <w:r w:rsidRPr="005B62B5">
              <w:rPr>
                <w:rFonts w:asciiTheme="minorHAnsi" w:hAnsiTheme="minorHAnsi"/>
                <w:szCs w:val="24"/>
              </w:rPr>
              <w:t xml:space="preserve"> and Smith, Chapters 1, 3 and 4, </w:t>
            </w:r>
          </w:p>
          <w:p w:rsidR="008210BA" w:rsidRPr="005B62B5" w:rsidRDefault="00922787"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Southgate, Graham and </w:t>
            </w:r>
            <w:proofErr w:type="spellStart"/>
            <w:r w:rsidRPr="005B62B5">
              <w:rPr>
                <w:rFonts w:asciiTheme="minorHAnsi" w:hAnsiTheme="minorHAnsi"/>
                <w:szCs w:val="24"/>
              </w:rPr>
              <w:t>Tweeten</w:t>
            </w:r>
            <w:proofErr w:type="spellEnd"/>
            <w:r w:rsidRPr="005B62B5">
              <w:rPr>
                <w:rFonts w:asciiTheme="minorHAnsi" w:hAnsiTheme="minorHAnsi"/>
                <w:szCs w:val="24"/>
              </w:rPr>
              <w:t>, Chapter 7</w:t>
            </w:r>
          </w:p>
        </w:tc>
      </w:tr>
      <w:tr w:rsidR="0067486E" w:rsidRPr="005B62B5" w:rsidTr="00B22681">
        <w:tc>
          <w:tcPr>
            <w:tcW w:w="427" w:type="pct"/>
            <w:vAlign w:val="center"/>
          </w:tcPr>
          <w:p w:rsidR="0067486E" w:rsidRPr="005B62B5" w:rsidRDefault="0067486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2</w:t>
            </w:r>
          </w:p>
        </w:tc>
        <w:tc>
          <w:tcPr>
            <w:tcW w:w="4573" w:type="pct"/>
            <w:vAlign w:val="center"/>
          </w:tcPr>
          <w:p w:rsidR="00A96C9A" w:rsidRPr="005B62B5" w:rsidRDefault="005E6C6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Comparing economic development challenges across the globe</w:t>
            </w:r>
          </w:p>
          <w:p w:rsidR="00922787" w:rsidRPr="005B62B5" w:rsidRDefault="00922787"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Todaro</w:t>
            </w:r>
            <w:proofErr w:type="spellEnd"/>
            <w:r w:rsidRPr="005B62B5">
              <w:rPr>
                <w:rFonts w:asciiTheme="minorHAnsi" w:hAnsiTheme="minorHAnsi"/>
                <w:szCs w:val="24"/>
              </w:rPr>
              <w:t xml:space="preserve"> and Smith, Chapter 2</w:t>
            </w:r>
          </w:p>
          <w:p w:rsidR="00922787" w:rsidRPr="005B62B5" w:rsidRDefault="00922787"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Southgate, Graham and </w:t>
            </w:r>
            <w:proofErr w:type="spellStart"/>
            <w:r w:rsidRPr="005B62B5">
              <w:rPr>
                <w:rFonts w:asciiTheme="minorHAnsi" w:hAnsiTheme="minorHAnsi"/>
                <w:szCs w:val="24"/>
              </w:rPr>
              <w:t>Tweeten</w:t>
            </w:r>
            <w:proofErr w:type="spellEnd"/>
            <w:r w:rsidRPr="005B62B5">
              <w:rPr>
                <w:rFonts w:asciiTheme="minorHAnsi" w:hAnsiTheme="minorHAnsi"/>
                <w:szCs w:val="24"/>
              </w:rPr>
              <w:t>, Chapter 9</w:t>
            </w:r>
            <w:r w:rsidR="00272806" w:rsidRPr="005B62B5">
              <w:rPr>
                <w:rFonts w:asciiTheme="minorHAnsi" w:hAnsiTheme="minorHAnsi"/>
                <w:szCs w:val="24"/>
              </w:rPr>
              <w:t>, 11, 12 and 15</w:t>
            </w:r>
          </w:p>
        </w:tc>
      </w:tr>
      <w:tr w:rsidR="0067486E" w:rsidRPr="005B62B5" w:rsidTr="00B22681">
        <w:tc>
          <w:tcPr>
            <w:tcW w:w="427" w:type="pct"/>
            <w:vAlign w:val="center"/>
          </w:tcPr>
          <w:p w:rsidR="0067486E" w:rsidRPr="005B62B5" w:rsidRDefault="0067486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3</w:t>
            </w:r>
          </w:p>
        </w:tc>
        <w:tc>
          <w:tcPr>
            <w:tcW w:w="4573" w:type="pct"/>
            <w:vAlign w:val="center"/>
          </w:tcPr>
          <w:p w:rsidR="00A96C9A"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Introduction to and Historical overview of Sub-Saharan Africa</w:t>
            </w:r>
            <w:r w:rsidR="00C92939" w:rsidRPr="005B62B5">
              <w:rPr>
                <w:rFonts w:asciiTheme="minorHAnsi" w:hAnsiTheme="minorHAnsi"/>
                <w:szCs w:val="24"/>
              </w:rPr>
              <w:t xml:space="preserve"> Development</w:t>
            </w:r>
          </w:p>
          <w:p w:rsidR="0058427E"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Stock, Chapters 1, 8, 9</w:t>
            </w:r>
          </w:p>
        </w:tc>
      </w:tr>
      <w:tr w:rsidR="0067486E" w:rsidRPr="005B62B5" w:rsidTr="00B22681">
        <w:tc>
          <w:tcPr>
            <w:tcW w:w="427" w:type="pct"/>
            <w:vAlign w:val="center"/>
          </w:tcPr>
          <w:p w:rsidR="0067486E" w:rsidRPr="005B62B5" w:rsidRDefault="0067486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4</w:t>
            </w:r>
          </w:p>
        </w:tc>
        <w:tc>
          <w:tcPr>
            <w:tcW w:w="4573" w:type="pct"/>
            <w:vAlign w:val="center"/>
          </w:tcPr>
          <w:p w:rsidR="00A96C9A"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Agricultural Development and Food Security</w:t>
            </w:r>
            <w:r w:rsidR="005E6C62" w:rsidRPr="005B62B5">
              <w:rPr>
                <w:rFonts w:asciiTheme="minorHAnsi" w:hAnsiTheme="minorHAnsi"/>
                <w:szCs w:val="24"/>
              </w:rPr>
              <w:t xml:space="preserve"> (</w:t>
            </w:r>
            <w:r w:rsidRPr="005B62B5">
              <w:rPr>
                <w:rFonts w:asciiTheme="minorHAnsi" w:hAnsiTheme="minorHAnsi"/>
                <w:szCs w:val="24"/>
              </w:rPr>
              <w:t xml:space="preserve">Sub-Saharan </w:t>
            </w:r>
            <w:r w:rsidR="005E6C62" w:rsidRPr="005B62B5">
              <w:rPr>
                <w:rFonts w:asciiTheme="minorHAnsi" w:hAnsiTheme="minorHAnsi"/>
                <w:szCs w:val="24"/>
              </w:rPr>
              <w:t>Africa)</w:t>
            </w:r>
          </w:p>
          <w:p w:rsidR="0058427E"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Stock, Chapters 13 and 15, </w:t>
            </w:r>
          </w:p>
          <w:p w:rsidR="0058427E"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“Ending Africa’s Hunger,” </w:t>
            </w:r>
          </w:p>
          <w:p w:rsidR="0058427E" w:rsidRPr="005B62B5" w:rsidRDefault="0058427E"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“Achieving African Food Security in an Era of Climate Change”</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5</w:t>
            </w:r>
          </w:p>
        </w:tc>
        <w:tc>
          <w:tcPr>
            <w:tcW w:w="4573" w:type="pct"/>
            <w:vAlign w:val="center"/>
          </w:tcPr>
          <w:p w:rsidR="00A96C9A" w:rsidRPr="005B62B5" w:rsidRDefault="00DF7720"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Trade, Foreign Investment and Foreign Aid </w:t>
            </w:r>
            <w:r w:rsidR="005E6C62" w:rsidRPr="005B62B5">
              <w:rPr>
                <w:rFonts w:asciiTheme="minorHAnsi" w:hAnsiTheme="minorHAnsi"/>
                <w:szCs w:val="24"/>
              </w:rPr>
              <w:t>(</w:t>
            </w:r>
            <w:r w:rsidRPr="005B62B5">
              <w:rPr>
                <w:rFonts w:asciiTheme="minorHAnsi" w:hAnsiTheme="minorHAnsi"/>
                <w:szCs w:val="24"/>
              </w:rPr>
              <w:t xml:space="preserve">Sub-Saharan </w:t>
            </w:r>
            <w:r w:rsidR="005E6C62" w:rsidRPr="005B62B5">
              <w:rPr>
                <w:rFonts w:asciiTheme="minorHAnsi" w:hAnsiTheme="minorHAnsi"/>
                <w:szCs w:val="24"/>
              </w:rPr>
              <w:t>Africa)</w:t>
            </w:r>
          </w:p>
          <w:p w:rsidR="00DF7720" w:rsidRPr="005B62B5" w:rsidRDefault="00DF7720"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Todaro</w:t>
            </w:r>
            <w:proofErr w:type="spellEnd"/>
            <w:r w:rsidRPr="005B62B5">
              <w:rPr>
                <w:rFonts w:asciiTheme="minorHAnsi" w:hAnsiTheme="minorHAnsi"/>
                <w:szCs w:val="24"/>
              </w:rPr>
              <w:t xml:space="preserve"> and Smith, Chapters 12 and 14</w:t>
            </w:r>
          </w:p>
          <w:p w:rsidR="00DF7720" w:rsidRPr="005B62B5" w:rsidRDefault="00DF7720"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Stock, Chapter 27</w:t>
            </w:r>
          </w:p>
          <w:p w:rsidR="004E7711" w:rsidRPr="005B62B5" w:rsidRDefault="004E771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color w:val="FF0000"/>
                <w:szCs w:val="24"/>
              </w:rPr>
              <w:t>Exam 1</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6</w:t>
            </w:r>
          </w:p>
        </w:tc>
        <w:tc>
          <w:tcPr>
            <w:tcW w:w="4573" w:type="pct"/>
            <w:vAlign w:val="center"/>
          </w:tcPr>
          <w:p w:rsidR="00A96C9A" w:rsidRPr="005B62B5" w:rsidRDefault="00C9293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Introduction to and Historical Overview of </w:t>
            </w:r>
            <w:r w:rsidR="005E6C62" w:rsidRPr="005B62B5">
              <w:rPr>
                <w:rFonts w:asciiTheme="minorHAnsi" w:hAnsiTheme="minorHAnsi"/>
                <w:szCs w:val="24"/>
              </w:rPr>
              <w:t>Latin America</w:t>
            </w:r>
            <w:r w:rsidRPr="005B62B5">
              <w:rPr>
                <w:rFonts w:asciiTheme="minorHAnsi" w:hAnsiTheme="minorHAnsi"/>
                <w:szCs w:val="24"/>
              </w:rPr>
              <w:t>n Development</w:t>
            </w:r>
          </w:p>
          <w:p w:rsidR="00C92939" w:rsidRPr="005B62B5" w:rsidRDefault="00C9293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Southgate, Graham and </w:t>
            </w:r>
            <w:proofErr w:type="spellStart"/>
            <w:r w:rsidRPr="005B62B5">
              <w:rPr>
                <w:rFonts w:asciiTheme="minorHAnsi" w:hAnsiTheme="minorHAnsi"/>
                <w:szCs w:val="24"/>
              </w:rPr>
              <w:t>Tweeten</w:t>
            </w:r>
            <w:proofErr w:type="spellEnd"/>
            <w:r w:rsidRPr="005B62B5">
              <w:rPr>
                <w:rFonts w:asciiTheme="minorHAnsi" w:hAnsiTheme="minorHAnsi"/>
                <w:szCs w:val="24"/>
              </w:rPr>
              <w:t>, Chapter 12</w:t>
            </w:r>
          </w:p>
          <w:p w:rsidR="00145E7D" w:rsidRPr="005B62B5" w:rsidRDefault="00145E7D"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Acemoglu</w:t>
            </w:r>
            <w:proofErr w:type="spellEnd"/>
            <w:r w:rsidRPr="005B62B5">
              <w:rPr>
                <w:rFonts w:asciiTheme="minorHAnsi" w:hAnsiTheme="minorHAnsi"/>
                <w:szCs w:val="24"/>
              </w:rPr>
              <w:t xml:space="preserve"> and Robinson, Chapter 9</w:t>
            </w:r>
          </w:p>
          <w:p w:rsidR="00C92939" w:rsidRPr="005B62B5" w:rsidRDefault="00C92939" w:rsidP="0097406A">
            <w:pPr>
              <w:pStyle w:val="TableData"/>
              <w:framePr w:hSpace="0" w:wrap="auto" w:vAnchor="margin" w:hAnchor="text" w:xAlign="left" w:yAlign="inline"/>
              <w:rPr>
                <w:rFonts w:asciiTheme="minorHAnsi" w:hAnsiTheme="minorHAnsi"/>
                <w:szCs w:val="24"/>
              </w:rPr>
            </w:pP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7</w:t>
            </w:r>
          </w:p>
        </w:tc>
        <w:tc>
          <w:tcPr>
            <w:tcW w:w="4573" w:type="pct"/>
            <w:vAlign w:val="center"/>
          </w:tcPr>
          <w:p w:rsidR="00A96C9A" w:rsidRPr="005B62B5" w:rsidRDefault="00FF3CB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Import-Substituting Industrialization and Debt Crisis in </w:t>
            </w:r>
            <w:r w:rsidR="005E6C62" w:rsidRPr="005B62B5">
              <w:rPr>
                <w:rFonts w:asciiTheme="minorHAnsi" w:hAnsiTheme="minorHAnsi"/>
                <w:szCs w:val="24"/>
              </w:rPr>
              <w:t>Latin America</w:t>
            </w:r>
          </w:p>
          <w:p w:rsidR="00FF3CB2" w:rsidRPr="005B62B5" w:rsidRDefault="00FF3CB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Edwards, Chapters 2 and 3.</w:t>
            </w:r>
          </w:p>
          <w:p w:rsidR="00FF3CB2" w:rsidRPr="005B62B5" w:rsidRDefault="00FF3CB2"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Acemoglu</w:t>
            </w:r>
            <w:proofErr w:type="spellEnd"/>
            <w:r w:rsidRPr="005B62B5">
              <w:rPr>
                <w:rFonts w:asciiTheme="minorHAnsi" w:hAnsiTheme="minorHAnsi"/>
                <w:szCs w:val="24"/>
              </w:rPr>
              <w:t xml:space="preserve"> and Robinson, Chapters 1, 3, 4 and 11.</w:t>
            </w:r>
          </w:p>
          <w:p w:rsidR="00FF3CB2" w:rsidRPr="005B62B5" w:rsidRDefault="00FF3CB2"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Engerman</w:t>
            </w:r>
            <w:proofErr w:type="spellEnd"/>
            <w:r w:rsidRPr="005B62B5">
              <w:rPr>
                <w:rFonts w:asciiTheme="minorHAnsi" w:hAnsiTheme="minorHAnsi"/>
                <w:szCs w:val="24"/>
              </w:rPr>
              <w:t xml:space="preserve"> and Sokoloff, “History Lessons: Institutions, Factor Endowments, </w:t>
            </w:r>
          </w:p>
          <w:p w:rsidR="00FF3CB2" w:rsidRPr="005B62B5" w:rsidRDefault="00FF3CB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lastRenderedPageBreak/>
              <w:t xml:space="preserve">and Paths of Development in the New World,” </w:t>
            </w:r>
            <w:r w:rsidRPr="005B62B5">
              <w:rPr>
                <w:rFonts w:asciiTheme="minorHAnsi" w:hAnsiTheme="minorHAnsi"/>
                <w:i/>
                <w:szCs w:val="24"/>
              </w:rPr>
              <w:t>J of Economic Perspectives</w:t>
            </w:r>
            <w:r w:rsidRPr="005B62B5">
              <w:rPr>
                <w:rFonts w:asciiTheme="minorHAnsi" w:hAnsiTheme="minorHAnsi"/>
                <w:szCs w:val="24"/>
              </w:rPr>
              <w:t>, 14:3 (2000),</w:t>
            </w:r>
          </w:p>
          <w:p w:rsidR="00FF3CB2" w:rsidRPr="005B62B5" w:rsidRDefault="00FF3CB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pp. 217-232.</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lastRenderedPageBreak/>
              <w:t>8</w:t>
            </w:r>
          </w:p>
        </w:tc>
        <w:tc>
          <w:tcPr>
            <w:tcW w:w="4573" w:type="pct"/>
            <w:vAlign w:val="center"/>
          </w:tcPr>
          <w:p w:rsidR="00BC3148" w:rsidRPr="005B62B5" w:rsidRDefault="0024111B"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County level </w:t>
            </w:r>
            <w:r w:rsidR="005E6C62" w:rsidRPr="005B62B5">
              <w:rPr>
                <w:rFonts w:asciiTheme="minorHAnsi" w:hAnsiTheme="minorHAnsi"/>
                <w:szCs w:val="24"/>
              </w:rPr>
              <w:t xml:space="preserve">challenges and opportunities </w:t>
            </w:r>
            <w:r w:rsidRPr="005B62B5">
              <w:rPr>
                <w:rFonts w:asciiTheme="minorHAnsi" w:hAnsiTheme="minorHAnsi"/>
                <w:szCs w:val="24"/>
              </w:rPr>
              <w:t xml:space="preserve">in </w:t>
            </w:r>
            <w:r w:rsidR="005E6C62" w:rsidRPr="005B62B5">
              <w:rPr>
                <w:rFonts w:asciiTheme="minorHAnsi" w:hAnsiTheme="minorHAnsi"/>
                <w:szCs w:val="24"/>
              </w:rPr>
              <w:t>Latin America</w:t>
            </w:r>
          </w:p>
          <w:p w:rsidR="0024111B" w:rsidRPr="005B62B5" w:rsidRDefault="0024111B"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Chile (Edwards, Chapter 5), Mexico (Edwards, Chapter 6), </w:t>
            </w:r>
          </w:p>
          <w:p w:rsidR="0024111B" w:rsidRPr="005B62B5" w:rsidRDefault="0024111B"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Argentina (Chapter 7), and Venezuela vs Brazil (Chapter 9)</w:t>
            </w:r>
          </w:p>
          <w:p w:rsidR="004E7711" w:rsidRPr="005B62B5" w:rsidRDefault="004E771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color w:val="FF0000"/>
                <w:szCs w:val="24"/>
              </w:rPr>
              <w:t>Exam 2</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9</w:t>
            </w:r>
          </w:p>
        </w:tc>
        <w:tc>
          <w:tcPr>
            <w:tcW w:w="4573" w:type="pct"/>
            <w:vAlign w:val="center"/>
          </w:tcPr>
          <w:p w:rsidR="00A96C9A" w:rsidRPr="005B62B5" w:rsidRDefault="008D26C5"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Introduction to and Historical Overview of Chinese Development</w:t>
            </w:r>
          </w:p>
          <w:p w:rsidR="008D26C5" w:rsidRPr="005B62B5" w:rsidRDefault="008D26C5"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Naughton</w:t>
            </w:r>
            <w:proofErr w:type="spellEnd"/>
            <w:r w:rsidRPr="005B62B5">
              <w:rPr>
                <w:rFonts w:asciiTheme="minorHAnsi" w:hAnsiTheme="minorHAnsi"/>
                <w:szCs w:val="24"/>
              </w:rPr>
              <w:t>, Chapter</w:t>
            </w:r>
            <w:r w:rsidR="00740772" w:rsidRPr="005B62B5">
              <w:rPr>
                <w:rFonts w:asciiTheme="minorHAnsi" w:hAnsiTheme="minorHAnsi"/>
                <w:szCs w:val="24"/>
              </w:rPr>
              <w:t>s</w:t>
            </w:r>
            <w:r w:rsidRPr="005B62B5">
              <w:rPr>
                <w:rFonts w:asciiTheme="minorHAnsi" w:hAnsiTheme="minorHAnsi"/>
                <w:szCs w:val="24"/>
              </w:rPr>
              <w:t xml:space="preserve"> 1</w:t>
            </w:r>
            <w:r w:rsidR="00796C61" w:rsidRPr="005B62B5">
              <w:rPr>
                <w:rFonts w:asciiTheme="minorHAnsi" w:hAnsiTheme="minorHAnsi"/>
                <w:szCs w:val="24"/>
              </w:rPr>
              <w:t>-4</w:t>
            </w:r>
          </w:p>
          <w:p w:rsidR="00052529" w:rsidRPr="005B62B5" w:rsidRDefault="0005252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Zhu, </w:t>
            </w:r>
            <w:proofErr w:type="spellStart"/>
            <w:r w:rsidRPr="005B62B5">
              <w:rPr>
                <w:rFonts w:asciiTheme="minorHAnsi" w:hAnsiTheme="minorHAnsi"/>
                <w:szCs w:val="24"/>
              </w:rPr>
              <w:t>Xiaodong</w:t>
            </w:r>
            <w:proofErr w:type="spellEnd"/>
            <w:r w:rsidRPr="005B62B5">
              <w:rPr>
                <w:rFonts w:asciiTheme="minorHAnsi" w:hAnsiTheme="minorHAnsi"/>
                <w:szCs w:val="24"/>
              </w:rPr>
              <w:t xml:space="preserve">, 2012. “Understanding China’s Growth: Past, Present, and </w:t>
            </w:r>
          </w:p>
          <w:p w:rsidR="00052529" w:rsidRPr="005B62B5" w:rsidRDefault="0005252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Future,” </w:t>
            </w:r>
            <w:r w:rsidRPr="00F21C4E">
              <w:rPr>
                <w:rFonts w:asciiTheme="minorHAnsi" w:hAnsiTheme="minorHAnsi"/>
                <w:i/>
                <w:szCs w:val="24"/>
              </w:rPr>
              <w:t>Journal of Economic Per</w:t>
            </w:r>
            <w:r w:rsidRPr="005B62B5">
              <w:rPr>
                <w:rFonts w:asciiTheme="minorHAnsi" w:hAnsiTheme="minorHAnsi"/>
                <w:szCs w:val="24"/>
              </w:rPr>
              <w:t>s</w:t>
            </w:r>
            <w:r w:rsidRPr="00F21C4E">
              <w:rPr>
                <w:rFonts w:asciiTheme="minorHAnsi" w:hAnsiTheme="minorHAnsi"/>
                <w:i/>
                <w:szCs w:val="24"/>
              </w:rPr>
              <w:t>pectives</w:t>
            </w:r>
            <w:r w:rsidRPr="005B62B5">
              <w:rPr>
                <w:rFonts w:asciiTheme="minorHAnsi" w:hAnsiTheme="minorHAnsi"/>
                <w:szCs w:val="24"/>
              </w:rPr>
              <w:t xml:space="preserve"> 26: 103-124</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10</w:t>
            </w:r>
          </w:p>
        </w:tc>
        <w:tc>
          <w:tcPr>
            <w:tcW w:w="4573" w:type="pct"/>
            <w:vAlign w:val="center"/>
          </w:tcPr>
          <w:p w:rsidR="00A96C9A" w:rsidRPr="005B62B5" w:rsidRDefault="00796C6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China’s Reforms</w:t>
            </w:r>
          </w:p>
          <w:p w:rsidR="00796C61" w:rsidRPr="005B62B5" w:rsidRDefault="00796C61"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Naughton</w:t>
            </w:r>
            <w:proofErr w:type="spellEnd"/>
            <w:r w:rsidRPr="005B62B5">
              <w:rPr>
                <w:rFonts w:asciiTheme="minorHAnsi" w:hAnsiTheme="minorHAnsi"/>
                <w:szCs w:val="24"/>
              </w:rPr>
              <w:t xml:space="preserve"> (Chapter 4, 10, 11)</w:t>
            </w:r>
          </w:p>
          <w:p w:rsidR="00927E06" w:rsidRPr="005B62B5" w:rsidRDefault="00927E06"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Lin (Chapter 7)</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11</w:t>
            </w:r>
          </w:p>
        </w:tc>
        <w:tc>
          <w:tcPr>
            <w:tcW w:w="4573" w:type="pct"/>
            <w:vAlign w:val="center"/>
          </w:tcPr>
          <w:p w:rsidR="00A96C9A"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China’s Dual-Track Approach</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Lin (Chapter 9) </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Lau, Lawrence, </w:t>
            </w:r>
            <w:proofErr w:type="spellStart"/>
            <w:r w:rsidRPr="005B62B5">
              <w:rPr>
                <w:rFonts w:asciiTheme="minorHAnsi" w:hAnsiTheme="minorHAnsi"/>
                <w:szCs w:val="24"/>
              </w:rPr>
              <w:t>Yingyi</w:t>
            </w:r>
            <w:proofErr w:type="spellEnd"/>
            <w:r w:rsidRPr="005B62B5">
              <w:rPr>
                <w:rFonts w:asciiTheme="minorHAnsi" w:hAnsiTheme="minorHAnsi"/>
                <w:szCs w:val="24"/>
              </w:rPr>
              <w:t xml:space="preserve"> Qian, and Gerard Roland. 2000. “Reform without Losers: </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An Interpretation of China's Dual‐Track Approach to Transition”, </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F21C4E">
              <w:rPr>
                <w:rFonts w:asciiTheme="minorHAnsi" w:hAnsiTheme="minorHAnsi"/>
                <w:i/>
                <w:szCs w:val="24"/>
              </w:rPr>
              <w:t>J. Political Economy</w:t>
            </w:r>
            <w:r w:rsidRPr="005B62B5">
              <w:rPr>
                <w:rFonts w:asciiTheme="minorHAnsi" w:hAnsiTheme="minorHAnsi"/>
                <w:szCs w:val="24"/>
              </w:rPr>
              <w:t xml:space="preserve"> 108(1): 120-143. </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Lee, Hong Yung. 2000. “</w:t>
            </w:r>
            <w:proofErr w:type="spellStart"/>
            <w:r w:rsidRPr="005B62B5">
              <w:rPr>
                <w:rFonts w:asciiTheme="minorHAnsi" w:hAnsiTheme="minorHAnsi"/>
                <w:szCs w:val="24"/>
              </w:rPr>
              <w:t>Xiagang</w:t>
            </w:r>
            <w:proofErr w:type="spellEnd"/>
            <w:r w:rsidRPr="005B62B5">
              <w:rPr>
                <w:rFonts w:asciiTheme="minorHAnsi" w:hAnsiTheme="minorHAnsi"/>
                <w:szCs w:val="24"/>
              </w:rPr>
              <w:t xml:space="preserve">, the Chinese Style of Laying Off Workers,” </w:t>
            </w:r>
          </w:p>
          <w:p w:rsidR="00AD37B9" w:rsidRPr="005B62B5" w:rsidRDefault="00AD37B9"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i/>
                <w:szCs w:val="24"/>
              </w:rPr>
              <w:t>Asian Survey</w:t>
            </w:r>
            <w:r w:rsidRPr="005B62B5">
              <w:rPr>
                <w:rFonts w:asciiTheme="minorHAnsi" w:hAnsiTheme="minorHAnsi"/>
                <w:szCs w:val="24"/>
              </w:rPr>
              <w:t xml:space="preserve"> 40(6): 914-937 </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12</w:t>
            </w:r>
          </w:p>
        </w:tc>
        <w:tc>
          <w:tcPr>
            <w:tcW w:w="4573" w:type="pct"/>
            <w:vAlign w:val="center"/>
          </w:tcPr>
          <w:p w:rsidR="003E686A" w:rsidRPr="005B62B5" w:rsidRDefault="003E686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Exchange Rate Policy and China-U.S. Trade Issues </w:t>
            </w:r>
          </w:p>
          <w:p w:rsidR="003E686A" w:rsidRPr="00F21C4E" w:rsidRDefault="003E686A" w:rsidP="0097406A">
            <w:pPr>
              <w:pStyle w:val="TableData"/>
              <w:framePr w:hSpace="0" w:wrap="auto" w:vAnchor="margin" w:hAnchor="text" w:xAlign="left" w:yAlign="inline"/>
              <w:rPr>
                <w:rFonts w:asciiTheme="minorHAnsi" w:hAnsiTheme="minorHAnsi"/>
                <w:i/>
                <w:szCs w:val="24"/>
              </w:rPr>
            </w:pPr>
            <w:r w:rsidRPr="005B62B5">
              <w:rPr>
                <w:rFonts w:asciiTheme="minorHAnsi" w:hAnsiTheme="minorHAnsi"/>
                <w:szCs w:val="24"/>
              </w:rPr>
              <w:t xml:space="preserve">Morrison, Wayne M. 2012. “China-U.S. Trade Issues,” </w:t>
            </w:r>
            <w:r w:rsidRPr="00F21C4E">
              <w:rPr>
                <w:rFonts w:asciiTheme="minorHAnsi" w:hAnsiTheme="minorHAnsi"/>
                <w:i/>
                <w:szCs w:val="24"/>
              </w:rPr>
              <w:t xml:space="preserve">Congressional Research </w:t>
            </w:r>
          </w:p>
          <w:p w:rsidR="003E686A" w:rsidRPr="005B62B5" w:rsidRDefault="003E686A" w:rsidP="0097406A">
            <w:pPr>
              <w:pStyle w:val="TableData"/>
              <w:framePr w:hSpace="0" w:wrap="auto" w:vAnchor="margin" w:hAnchor="text" w:xAlign="left" w:yAlign="inline"/>
              <w:rPr>
                <w:rFonts w:asciiTheme="minorHAnsi" w:hAnsiTheme="minorHAnsi"/>
                <w:szCs w:val="24"/>
              </w:rPr>
            </w:pPr>
            <w:r w:rsidRPr="00F21C4E">
              <w:rPr>
                <w:rFonts w:asciiTheme="minorHAnsi" w:hAnsiTheme="minorHAnsi"/>
                <w:i/>
                <w:szCs w:val="24"/>
              </w:rPr>
              <w:t>Service Report RL33536</w:t>
            </w:r>
            <w:r w:rsidRPr="005B62B5">
              <w:rPr>
                <w:rFonts w:asciiTheme="minorHAnsi" w:hAnsiTheme="minorHAnsi"/>
                <w:szCs w:val="24"/>
              </w:rPr>
              <w:t xml:space="preserve">. </w:t>
            </w:r>
          </w:p>
          <w:p w:rsidR="003E686A" w:rsidRPr="005B62B5" w:rsidRDefault="003E686A"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Staiger</w:t>
            </w:r>
            <w:proofErr w:type="spellEnd"/>
            <w:r w:rsidRPr="005B62B5">
              <w:rPr>
                <w:rFonts w:asciiTheme="minorHAnsi" w:hAnsiTheme="minorHAnsi"/>
                <w:szCs w:val="24"/>
              </w:rPr>
              <w:t xml:space="preserve">, Robert, and Alan O. Sykes. 2010. “Currency ‘Manipulation’ and </w:t>
            </w:r>
          </w:p>
          <w:p w:rsidR="00C92939" w:rsidRPr="005B62B5" w:rsidRDefault="003E686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World Trade,” </w:t>
            </w:r>
            <w:r w:rsidRPr="005B62B5">
              <w:rPr>
                <w:rFonts w:asciiTheme="minorHAnsi" w:hAnsiTheme="minorHAnsi"/>
                <w:i/>
                <w:szCs w:val="24"/>
              </w:rPr>
              <w:t>World Trade Review</w:t>
            </w:r>
            <w:r w:rsidRPr="005B62B5">
              <w:rPr>
                <w:rFonts w:asciiTheme="minorHAnsi" w:hAnsiTheme="minorHAnsi"/>
                <w:szCs w:val="24"/>
              </w:rPr>
              <w:t xml:space="preserve"> 9(4): 583–627. </w:t>
            </w:r>
          </w:p>
          <w:p w:rsidR="003E686A" w:rsidRPr="005B62B5" w:rsidRDefault="003E686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 xml:space="preserve">[Video] Brookings: China’s Currency Policy by Kenneth </w:t>
            </w:r>
            <w:proofErr w:type="spellStart"/>
            <w:r w:rsidRPr="005B62B5">
              <w:rPr>
                <w:rFonts w:asciiTheme="minorHAnsi" w:hAnsiTheme="minorHAnsi"/>
                <w:szCs w:val="24"/>
              </w:rPr>
              <w:t>Lieberthal</w:t>
            </w:r>
            <w:proofErr w:type="spellEnd"/>
            <w:r w:rsidRPr="005B62B5">
              <w:rPr>
                <w:rFonts w:asciiTheme="minorHAnsi" w:hAnsiTheme="minorHAnsi"/>
                <w:szCs w:val="24"/>
              </w:rPr>
              <w:t xml:space="preserve"> in 2011</w:t>
            </w:r>
          </w:p>
          <w:p w:rsidR="004E7711" w:rsidRPr="005B62B5" w:rsidRDefault="004E771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color w:val="FF0000"/>
                <w:szCs w:val="24"/>
              </w:rPr>
              <w:t>Exam 3</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13</w:t>
            </w:r>
          </w:p>
        </w:tc>
        <w:tc>
          <w:tcPr>
            <w:tcW w:w="4573" w:type="pct"/>
            <w:vAlign w:val="center"/>
          </w:tcPr>
          <w:p w:rsidR="00A96C9A" w:rsidRPr="005B62B5" w:rsidRDefault="005E6C6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Commonalities and distinctions in development challenges across the globe</w:t>
            </w:r>
          </w:p>
          <w:p w:rsidR="006D3EA7" w:rsidRPr="005B62B5" w:rsidRDefault="006D3EA7"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Acemoglu</w:t>
            </w:r>
            <w:proofErr w:type="spellEnd"/>
            <w:r w:rsidRPr="005B62B5">
              <w:rPr>
                <w:rFonts w:asciiTheme="minorHAnsi" w:hAnsiTheme="minorHAnsi"/>
                <w:szCs w:val="24"/>
              </w:rPr>
              <w:t xml:space="preserve"> and Robinson, Chapter 5</w:t>
            </w:r>
            <w:r w:rsidR="0072732C" w:rsidRPr="005B62B5">
              <w:rPr>
                <w:rFonts w:asciiTheme="minorHAnsi" w:hAnsiTheme="minorHAnsi"/>
                <w:szCs w:val="24"/>
              </w:rPr>
              <w:t xml:space="preserve">, </w:t>
            </w:r>
            <w:r w:rsidR="0056798A" w:rsidRPr="005B62B5">
              <w:rPr>
                <w:rFonts w:asciiTheme="minorHAnsi" w:hAnsiTheme="minorHAnsi"/>
                <w:szCs w:val="24"/>
              </w:rPr>
              <w:t>10</w:t>
            </w:r>
          </w:p>
        </w:tc>
      </w:tr>
      <w:tr w:rsidR="00A96C9A" w:rsidRPr="005B62B5" w:rsidTr="00B22681">
        <w:tc>
          <w:tcPr>
            <w:tcW w:w="427" w:type="pct"/>
            <w:vAlign w:val="center"/>
          </w:tcPr>
          <w:p w:rsidR="00A96C9A" w:rsidRPr="005B62B5" w:rsidRDefault="00A96C9A"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lastRenderedPageBreak/>
              <w:t>14</w:t>
            </w:r>
          </w:p>
        </w:tc>
        <w:tc>
          <w:tcPr>
            <w:tcW w:w="4573" w:type="pct"/>
            <w:vAlign w:val="center"/>
          </w:tcPr>
          <w:p w:rsidR="00A96C9A" w:rsidRPr="005B62B5" w:rsidRDefault="005E6C62"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Commonalities and distinctions in development challenges across the globe</w:t>
            </w:r>
          </w:p>
          <w:p w:rsidR="0056798A" w:rsidRPr="005B62B5" w:rsidRDefault="0056798A" w:rsidP="0097406A">
            <w:pPr>
              <w:pStyle w:val="TableData"/>
              <w:framePr w:hSpace="0" w:wrap="auto" w:vAnchor="margin" w:hAnchor="text" w:xAlign="left" w:yAlign="inline"/>
              <w:rPr>
                <w:rFonts w:asciiTheme="minorHAnsi" w:hAnsiTheme="minorHAnsi"/>
                <w:szCs w:val="24"/>
              </w:rPr>
            </w:pPr>
            <w:proofErr w:type="spellStart"/>
            <w:r w:rsidRPr="005B62B5">
              <w:rPr>
                <w:rFonts w:asciiTheme="minorHAnsi" w:hAnsiTheme="minorHAnsi"/>
                <w:szCs w:val="24"/>
              </w:rPr>
              <w:t>Acemoglu</w:t>
            </w:r>
            <w:proofErr w:type="spellEnd"/>
            <w:r w:rsidRPr="005B62B5">
              <w:rPr>
                <w:rFonts w:asciiTheme="minorHAnsi" w:hAnsiTheme="minorHAnsi"/>
                <w:szCs w:val="24"/>
              </w:rPr>
              <w:t xml:space="preserve"> and Robinson, Chapter 13 - 15</w:t>
            </w:r>
          </w:p>
        </w:tc>
      </w:tr>
      <w:tr w:rsidR="004E7711" w:rsidRPr="005B62B5" w:rsidTr="00B22681">
        <w:tc>
          <w:tcPr>
            <w:tcW w:w="427" w:type="pct"/>
            <w:vAlign w:val="center"/>
          </w:tcPr>
          <w:p w:rsidR="004E7711" w:rsidRPr="005B62B5" w:rsidRDefault="004E771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szCs w:val="24"/>
              </w:rPr>
              <w:t>15</w:t>
            </w:r>
          </w:p>
        </w:tc>
        <w:tc>
          <w:tcPr>
            <w:tcW w:w="4573" w:type="pct"/>
            <w:vAlign w:val="center"/>
          </w:tcPr>
          <w:p w:rsidR="004E7711" w:rsidRPr="005B62B5" w:rsidRDefault="004E7711" w:rsidP="0097406A">
            <w:pPr>
              <w:pStyle w:val="TableData"/>
              <w:framePr w:hSpace="0" w:wrap="auto" w:vAnchor="margin" w:hAnchor="text" w:xAlign="left" w:yAlign="inline"/>
              <w:rPr>
                <w:rFonts w:asciiTheme="minorHAnsi" w:hAnsiTheme="minorHAnsi"/>
                <w:szCs w:val="24"/>
              </w:rPr>
            </w:pPr>
            <w:r w:rsidRPr="005B62B5">
              <w:rPr>
                <w:rFonts w:asciiTheme="minorHAnsi" w:hAnsiTheme="minorHAnsi"/>
                <w:color w:val="FF0000"/>
                <w:szCs w:val="24"/>
              </w:rPr>
              <w:t>Final Exam</w:t>
            </w:r>
          </w:p>
        </w:tc>
      </w:tr>
    </w:tbl>
    <w:p w:rsidR="00740809" w:rsidRPr="005B62B5" w:rsidRDefault="00740809" w:rsidP="00B80A3F">
      <w:pPr>
        <w:tabs>
          <w:tab w:val="left" w:pos="1392"/>
        </w:tabs>
        <w:rPr>
          <w:rFonts w:asciiTheme="minorHAnsi" w:hAnsiTheme="minorHAnsi" w:cs="Arial"/>
        </w:rPr>
      </w:pPr>
    </w:p>
    <w:sectPr w:rsidR="00740809" w:rsidRPr="005B62B5" w:rsidSect="004A3492">
      <w:headerReference w:type="first" r:id="rId11"/>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E9" w:rsidRDefault="005726E9" w:rsidP="003B3934">
      <w:pPr>
        <w:spacing w:before="0" w:after="0"/>
      </w:pPr>
      <w:r>
        <w:separator/>
      </w:r>
    </w:p>
  </w:endnote>
  <w:endnote w:type="continuationSeparator" w:id="0">
    <w:p w:rsidR="005726E9" w:rsidRDefault="005726E9" w:rsidP="003B39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charset w:val="00"/>
    <w:family w:val="auto"/>
    <w:pitch w:val="variable"/>
    <w:sig w:usb0="A00002EF" w:usb1="5000E0FB"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E9" w:rsidRDefault="005726E9" w:rsidP="003B3934">
      <w:pPr>
        <w:spacing w:before="0" w:after="0"/>
      </w:pPr>
      <w:r>
        <w:separator/>
      </w:r>
    </w:p>
  </w:footnote>
  <w:footnote w:type="continuationSeparator" w:id="0">
    <w:p w:rsidR="005726E9" w:rsidRDefault="005726E9" w:rsidP="003B393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2B" w:rsidRDefault="003D7F2B" w:rsidP="003B3934">
    <w:pPr>
      <w:pStyle w:val="Header"/>
      <w:ind w:hanging="720"/>
      <w:rPr>
        <w:rFonts w:ascii="Arial" w:hAnsi="Arial" w:cs="Arial"/>
        <w:sz w:val="18"/>
        <w:szCs w:val="18"/>
      </w:rPr>
    </w:pPr>
    <w:r>
      <w:rPr>
        <w:rFonts w:ascii="Arial" w:hAnsi="Arial" w:cs="Arial"/>
        <w:noProof/>
        <w:color w:val="666666"/>
        <w:sz w:val="18"/>
        <w:szCs w:val="18"/>
      </w:rPr>
      <mc:AlternateContent>
        <mc:Choice Requires="wps">
          <w:drawing>
            <wp:anchor distT="0" distB="0" distL="114300" distR="114300" simplePos="0" relativeHeight="251661312" behindDoc="0" locked="0" layoutInCell="1" allowOverlap="1" wp14:anchorId="1B8DAA0F" wp14:editId="62D477A7">
              <wp:simplePos x="0" y="0"/>
              <wp:positionH relativeFrom="rightMargin">
                <wp:posOffset>-3425825</wp:posOffset>
              </wp:positionH>
              <wp:positionV relativeFrom="paragraph">
                <wp:posOffset>0</wp:posOffset>
              </wp:positionV>
              <wp:extent cx="3425190" cy="777875"/>
              <wp:effectExtent l="0" t="0" r="0" b="3175"/>
              <wp:wrapSquare wrapText="bothSides"/>
              <wp:docPr id="2" name="Text Box 2"/>
              <wp:cNvGraphicFramePr/>
              <a:graphic xmlns:a="http://schemas.openxmlformats.org/drawingml/2006/main">
                <a:graphicData uri="http://schemas.microsoft.com/office/word/2010/wordprocessingShape">
                  <wps:wsp>
                    <wps:cNvSpPr txBox="1"/>
                    <wps:spPr>
                      <a:xfrm>
                        <a:off x="0" y="0"/>
                        <a:ext cx="3425190" cy="777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7F2B" w:rsidRPr="00F532CA" w:rsidRDefault="00F532CA" w:rsidP="00F532CA">
                          <w:pPr>
                            <w:spacing w:after="0"/>
                            <w:ind w:right="144"/>
                            <w:jc w:val="right"/>
                            <w:rPr>
                              <w:rFonts w:ascii="Arial" w:hAnsi="Arial" w:cs="Arial"/>
                              <w:b/>
                              <w:color w:val="BB0000"/>
                              <w:sz w:val="14"/>
                              <w:szCs w:val="18"/>
                            </w:rPr>
                          </w:pPr>
                          <w:r w:rsidRPr="00F532CA">
                            <w:rPr>
                              <w:rFonts w:ascii="Arial" w:hAnsi="Arial" w:cs="Arial"/>
                              <w:b/>
                              <w:color w:val="BB0000"/>
                              <w:sz w:val="14"/>
                              <w:szCs w:val="18"/>
                            </w:rPr>
                            <w:t>College of Food, Agricultural, and Environmental Sciences</w:t>
                          </w:r>
                          <w:r w:rsidR="003D7F2B" w:rsidRPr="00F532CA">
                            <w:rPr>
                              <w:rFonts w:ascii="Arial" w:hAnsi="Arial" w:cs="Arial"/>
                              <w:b/>
                              <w:color w:val="BB0000"/>
                              <w:sz w:val="14"/>
                              <w:szCs w:val="18"/>
                            </w:rPr>
                            <w:t xml:space="preserve"> </w:t>
                          </w:r>
                        </w:p>
                        <w:p w:rsidR="003D7F2B" w:rsidRPr="00F532CA" w:rsidRDefault="00F532CA" w:rsidP="00F532CA">
                          <w:pPr>
                            <w:spacing w:after="0"/>
                            <w:ind w:right="160"/>
                            <w:jc w:val="right"/>
                            <w:rPr>
                              <w:rFonts w:ascii="Arial" w:hAnsi="Arial" w:cs="Arial"/>
                              <w:color w:val="666666"/>
                              <w:sz w:val="14"/>
                              <w:szCs w:val="18"/>
                            </w:rPr>
                          </w:pPr>
                          <w:r w:rsidRPr="00F532CA">
                            <w:rPr>
                              <w:rFonts w:ascii="Arial" w:hAnsi="Arial" w:cs="Arial"/>
                              <w:color w:val="666666"/>
                              <w:sz w:val="14"/>
                              <w:szCs w:val="18"/>
                            </w:rPr>
                            <w:t>Department of Agricultural, Environmental and Development Economics</w:t>
                          </w:r>
                        </w:p>
                        <w:p w:rsidR="003D7F2B" w:rsidRPr="0028320F" w:rsidRDefault="003D7F2B" w:rsidP="003B3934">
                          <w:pPr>
                            <w:spacing w:after="0"/>
                            <w:ind w:right="-27"/>
                            <w:jc w:val="right"/>
                            <w:rPr>
                              <w:rFonts w:ascii="Arial" w:hAnsi="Arial"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DAA0F" id="_x0000_t202" coordsize="21600,21600" o:spt="202" path="m,l,21600r21600,l21600,xe">
              <v:stroke joinstyle="miter"/>
              <v:path gradientshapeok="t" o:connecttype="rect"/>
            </v:shapetype>
            <v:shape id="Text Box 2" o:spid="_x0000_s1026" type="#_x0000_t202" style="position:absolute;margin-left:-269.75pt;margin-top:0;width:269.7pt;height:61.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" filled="f" stroked="f" strokeweight=".5pt">
              <v:textbox>
                <w:txbxContent>
                  <w:p w:rsidR="003D7F2B" w:rsidRPr="00F532CA" w:rsidRDefault="00F532CA" w:rsidP="00F532CA">
                    <w:pPr>
                      <w:spacing w:after="0"/>
                      <w:ind w:right="144"/>
                      <w:jc w:val="right"/>
                      <w:rPr>
                        <w:rFonts w:ascii="Arial" w:hAnsi="Arial" w:cs="Arial"/>
                        <w:b/>
                        <w:color w:val="BB0000"/>
                        <w:sz w:val="14"/>
                        <w:szCs w:val="18"/>
                      </w:rPr>
                    </w:pPr>
                    <w:r w:rsidRPr="00F532CA">
                      <w:rPr>
                        <w:rFonts w:ascii="Arial" w:hAnsi="Arial" w:cs="Arial"/>
                        <w:b/>
                        <w:color w:val="BB0000"/>
                        <w:sz w:val="14"/>
                        <w:szCs w:val="18"/>
                      </w:rPr>
                      <w:t>College of Food, Agricultural, and Environmental Sciences</w:t>
                    </w:r>
                    <w:r w:rsidR="003D7F2B" w:rsidRPr="00F532CA">
                      <w:rPr>
                        <w:rFonts w:ascii="Arial" w:hAnsi="Arial" w:cs="Arial"/>
                        <w:b/>
                        <w:color w:val="BB0000"/>
                        <w:sz w:val="14"/>
                        <w:szCs w:val="18"/>
                      </w:rPr>
                      <w:t xml:space="preserve"> </w:t>
                    </w:r>
                  </w:p>
                  <w:p w:rsidR="003D7F2B" w:rsidRPr="00F532CA" w:rsidRDefault="00F532CA" w:rsidP="00F532CA">
                    <w:pPr>
                      <w:spacing w:after="0"/>
                      <w:ind w:right="160"/>
                      <w:jc w:val="right"/>
                      <w:rPr>
                        <w:rFonts w:ascii="Arial" w:hAnsi="Arial" w:cs="Arial"/>
                        <w:color w:val="666666"/>
                        <w:sz w:val="14"/>
                        <w:szCs w:val="18"/>
                      </w:rPr>
                    </w:pPr>
                    <w:r w:rsidRPr="00F532CA">
                      <w:rPr>
                        <w:rFonts w:ascii="Arial" w:hAnsi="Arial" w:cs="Arial"/>
                        <w:color w:val="666666"/>
                        <w:sz w:val="14"/>
                        <w:szCs w:val="18"/>
                      </w:rPr>
                      <w:t>Department of Agricultural, Environmental and Development Economics</w:t>
                    </w:r>
                  </w:p>
                  <w:p w:rsidR="003D7F2B" w:rsidRPr="0028320F" w:rsidRDefault="003D7F2B" w:rsidP="003B3934">
                    <w:pPr>
                      <w:spacing w:after="0"/>
                      <w:ind w:right="-27"/>
                      <w:jc w:val="right"/>
                      <w:rPr>
                        <w:rFonts w:ascii="Arial" w:hAnsi="Arial" w:cs="Arial"/>
                        <w:color w:val="666666"/>
                        <w:sz w:val="18"/>
                        <w:szCs w:val="18"/>
                      </w:rPr>
                    </w:pPr>
                  </w:p>
                </w:txbxContent>
              </v:textbox>
              <w10:wrap type="square" anchorx="margin"/>
            </v:shape>
          </w:pict>
        </mc:Fallback>
      </mc:AlternateContent>
    </w:r>
    <w:r w:rsidRPr="00F532CA">
      <w:rPr>
        <w:rFonts w:ascii="Arial" w:hAnsi="Arial" w:cs="Arial"/>
        <w:noProof/>
        <w:sz w:val="16"/>
        <w:szCs w:val="18"/>
      </w:rPr>
      <w:drawing>
        <wp:inline distT="0" distB="0" distL="0" distR="0" wp14:anchorId="38E19BC4" wp14:editId="6891ACDE">
          <wp:extent cx="2784143" cy="39884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3924" cy="398812"/>
                  </a:xfrm>
                  <a:prstGeom prst="rect">
                    <a:avLst/>
                  </a:prstGeom>
                </pic:spPr>
              </pic:pic>
            </a:graphicData>
          </a:graphic>
        </wp:inline>
      </w:drawing>
    </w:r>
  </w:p>
  <w:p w:rsidR="003D7F2B" w:rsidRDefault="003D7F2B" w:rsidP="003B3934">
    <w:pPr>
      <w:pStyle w:val="Header"/>
      <w:ind w:hanging="720"/>
      <w:rPr>
        <w:rFonts w:ascii="Arial" w:hAnsi="Arial" w:cs="Arial"/>
        <w:sz w:val="18"/>
        <w:szCs w:val="18"/>
      </w:rPr>
    </w:pPr>
  </w:p>
  <w:p w:rsidR="003D7F2B" w:rsidRDefault="003D7F2B" w:rsidP="003B3934">
    <w:pPr>
      <w:pStyle w:val="Header"/>
      <w:ind w:hanging="720"/>
      <w:rPr>
        <w:rFonts w:ascii="Arial" w:hAnsi="Arial" w:cs="Arial"/>
        <w:sz w:val="18"/>
        <w:szCs w:val="18"/>
      </w:rPr>
    </w:pPr>
  </w:p>
  <w:p w:rsidR="003D7F2B" w:rsidRPr="003B3934" w:rsidRDefault="003D7F2B"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5688F"/>
    <w:multiLevelType w:val="hybridMultilevel"/>
    <w:tmpl w:val="0242D80A"/>
    <w:lvl w:ilvl="0" w:tplc="2AE4FB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32706"/>
    <w:multiLevelType w:val="multilevel"/>
    <w:tmpl w:val="AC6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91285"/>
    <w:multiLevelType w:val="multilevel"/>
    <w:tmpl w:val="799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44648"/>
    <w:multiLevelType w:val="multilevel"/>
    <w:tmpl w:val="F33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4133F"/>
    <w:multiLevelType w:val="multilevel"/>
    <w:tmpl w:val="31A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57987"/>
    <w:multiLevelType w:val="multilevel"/>
    <w:tmpl w:val="140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D6D4A"/>
    <w:multiLevelType w:val="hybridMultilevel"/>
    <w:tmpl w:val="F0D2455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3266D"/>
    <w:multiLevelType w:val="multilevel"/>
    <w:tmpl w:val="A9F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5"/>
  </w:num>
  <w:num w:numId="23">
    <w:abstractNumId w:val="14"/>
  </w:num>
  <w:num w:numId="24">
    <w:abstractNumId w:val="9"/>
  </w:num>
  <w:num w:numId="25">
    <w:abstractNumId w:val="11"/>
  </w:num>
  <w:num w:numId="26">
    <w:abstractNumId w:val="7"/>
  </w:num>
  <w:num w:numId="27">
    <w:abstractNumId w:val="8"/>
  </w:num>
  <w:num w:numId="28">
    <w:abstractNumId w:val="4"/>
  </w:num>
  <w:num w:numId="29">
    <w:abstractNumId w:val="6"/>
  </w:num>
  <w:num w:numId="30">
    <w:abstractNumId w:val="5"/>
  </w:num>
  <w:num w:numId="31">
    <w:abstractNumId w:val="13"/>
  </w:num>
  <w:num w:numId="32">
    <w:abstractNumId w:val="1"/>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B1"/>
    <w:rsid w:val="00052529"/>
    <w:rsid w:val="000535CA"/>
    <w:rsid w:val="00080053"/>
    <w:rsid w:val="00082238"/>
    <w:rsid w:val="000958E9"/>
    <w:rsid w:val="000A4F39"/>
    <w:rsid w:val="000B22C9"/>
    <w:rsid w:val="000D31EC"/>
    <w:rsid w:val="001005BF"/>
    <w:rsid w:val="00111BE4"/>
    <w:rsid w:val="00132158"/>
    <w:rsid w:val="00140E47"/>
    <w:rsid w:val="00144CAB"/>
    <w:rsid w:val="00145E7D"/>
    <w:rsid w:val="00160E18"/>
    <w:rsid w:val="00185ACE"/>
    <w:rsid w:val="001A37E1"/>
    <w:rsid w:val="001E44E7"/>
    <w:rsid w:val="00230330"/>
    <w:rsid w:val="0024111B"/>
    <w:rsid w:val="00241477"/>
    <w:rsid w:val="00252B46"/>
    <w:rsid w:val="00264390"/>
    <w:rsid w:val="00267A94"/>
    <w:rsid w:val="00272806"/>
    <w:rsid w:val="0028320F"/>
    <w:rsid w:val="002B153E"/>
    <w:rsid w:val="002F4C9A"/>
    <w:rsid w:val="00302555"/>
    <w:rsid w:val="00356BF2"/>
    <w:rsid w:val="00362A4E"/>
    <w:rsid w:val="00372F74"/>
    <w:rsid w:val="003A7A6A"/>
    <w:rsid w:val="003B3934"/>
    <w:rsid w:val="003B3A90"/>
    <w:rsid w:val="003D7F2B"/>
    <w:rsid w:val="003E3D56"/>
    <w:rsid w:val="003E686A"/>
    <w:rsid w:val="003F1BA2"/>
    <w:rsid w:val="003F6F8F"/>
    <w:rsid w:val="00403610"/>
    <w:rsid w:val="0040664B"/>
    <w:rsid w:val="00431694"/>
    <w:rsid w:val="004A3492"/>
    <w:rsid w:val="004E6683"/>
    <w:rsid w:val="004E7711"/>
    <w:rsid w:val="004F1A1E"/>
    <w:rsid w:val="005006C5"/>
    <w:rsid w:val="00507B91"/>
    <w:rsid w:val="00521167"/>
    <w:rsid w:val="00530252"/>
    <w:rsid w:val="00553F71"/>
    <w:rsid w:val="0056798A"/>
    <w:rsid w:val="005726E9"/>
    <w:rsid w:val="005773FB"/>
    <w:rsid w:val="0058427E"/>
    <w:rsid w:val="005A4B97"/>
    <w:rsid w:val="005B62B5"/>
    <w:rsid w:val="005E1517"/>
    <w:rsid w:val="005E6C62"/>
    <w:rsid w:val="006134B4"/>
    <w:rsid w:val="00634200"/>
    <w:rsid w:val="006462B7"/>
    <w:rsid w:val="006549CA"/>
    <w:rsid w:val="006622A1"/>
    <w:rsid w:val="00673B36"/>
    <w:rsid w:val="0067486E"/>
    <w:rsid w:val="006750A1"/>
    <w:rsid w:val="006D3EA7"/>
    <w:rsid w:val="006D5B3D"/>
    <w:rsid w:val="0072732C"/>
    <w:rsid w:val="00727F49"/>
    <w:rsid w:val="00740772"/>
    <w:rsid w:val="00740809"/>
    <w:rsid w:val="0075072F"/>
    <w:rsid w:val="00751B24"/>
    <w:rsid w:val="00796C61"/>
    <w:rsid w:val="0081741A"/>
    <w:rsid w:val="008210BA"/>
    <w:rsid w:val="00874041"/>
    <w:rsid w:val="008806B3"/>
    <w:rsid w:val="0088634C"/>
    <w:rsid w:val="00892DA1"/>
    <w:rsid w:val="00893DA5"/>
    <w:rsid w:val="008A1D65"/>
    <w:rsid w:val="008A3838"/>
    <w:rsid w:val="008B278B"/>
    <w:rsid w:val="008C1F08"/>
    <w:rsid w:val="008D26C5"/>
    <w:rsid w:val="008E3BF4"/>
    <w:rsid w:val="00922787"/>
    <w:rsid w:val="0092404A"/>
    <w:rsid w:val="00927E06"/>
    <w:rsid w:val="0096026B"/>
    <w:rsid w:val="009657E3"/>
    <w:rsid w:val="00970D43"/>
    <w:rsid w:val="0097406A"/>
    <w:rsid w:val="009771CA"/>
    <w:rsid w:val="00996A6B"/>
    <w:rsid w:val="009E0831"/>
    <w:rsid w:val="009E0A07"/>
    <w:rsid w:val="009F3D71"/>
    <w:rsid w:val="00A029BE"/>
    <w:rsid w:val="00A07DB3"/>
    <w:rsid w:val="00A14B73"/>
    <w:rsid w:val="00A34467"/>
    <w:rsid w:val="00A42CAB"/>
    <w:rsid w:val="00A95596"/>
    <w:rsid w:val="00A96C9A"/>
    <w:rsid w:val="00AA79A1"/>
    <w:rsid w:val="00AB4B95"/>
    <w:rsid w:val="00AD37B9"/>
    <w:rsid w:val="00AE2A15"/>
    <w:rsid w:val="00B108DB"/>
    <w:rsid w:val="00B15B7C"/>
    <w:rsid w:val="00B2061D"/>
    <w:rsid w:val="00B22681"/>
    <w:rsid w:val="00B22E73"/>
    <w:rsid w:val="00B45693"/>
    <w:rsid w:val="00B80A3F"/>
    <w:rsid w:val="00BB0322"/>
    <w:rsid w:val="00BC2CF8"/>
    <w:rsid w:val="00BC3148"/>
    <w:rsid w:val="00BD203D"/>
    <w:rsid w:val="00BD25C9"/>
    <w:rsid w:val="00C52BE2"/>
    <w:rsid w:val="00C6216B"/>
    <w:rsid w:val="00C8365E"/>
    <w:rsid w:val="00C92939"/>
    <w:rsid w:val="00CA4FB1"/>
    <w:rsid w:val="00CC0D01"/>
    <w:rsid w:val="00CD05EA"/>
    <w:rsid w:val="00CF2D9B"/>
    <w:rsid w:val="00CF638B"/>
    <w:rsid w:val="00D331BC"/>
    <w:rsid w:val="00D47203"/>
    <w:rsid w:val="00D7231F"/>
    <w:rsid w:val="00D749B1"/>
    <w:rsid w:val="00D81C75"/>
    <w:rsid w:val="00DF1825"/>
    <w:rsid w:val="00DF7720"/>
    <w:rsid w:val="00E21C1F"/>
    <w:rsid w:val="00E27095"/>
    <w:rsid w:val="00E85975"/>
    <w:rsid w:val="00EB0063"/>
    <w:rsid w:val="00EC0CF3"/>
    <w:rsid w:val="00EF647F"/>
    <w:rsid w:val="00F20872"/>
    <w:rsid w:val="00F21C4E"/>
    <w:rsid w:val="00F501C6"/>
    <w:rsid w:val="00F532CA"/>
    <w:rsid w:val="00F65CCE"/>
    <w:rsid w:val="00F77439"/>
    <w:rsid w:val="00FA0D6F"/>
    <w:rsid w:val="00FA2912"/>
    <w:rsid w:val="00FA7F50"/>
    <w:rsid w:val="00FB3CC6"/>
    <w:rsid w:val="00FD288D"/>
    <w:rsid w:val="00FF3CB2"/>
    <w:rsid w:val="00FF5383"/>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AF44C6-D4F8-403C-A4D3-45660D2F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872"/>
    <w:pPr>
      <w:spacing w:before="60" w:after="120"/>
    </w:pPr>
    <w:rPr>
      <w:rFonts w:ascii="Calibri" w:hAnsi="Calibri"/>
      <w:color w:val="000000" w:themeColor="text1"/>
    </w:rPr>
  </w:style>
  <w:style w:type="paragraph" w:styleId="Heading1">
    <w:name w:val="heading 1"/>
    <w:basedOn w:val="Normal"/>
    <w:next w:val="Normal"/>
    <w:link w:val="Heading1Char"/>
    <w:uiPriority w:val="9"/>
    <w:qFormat/>
    <w:rsid w:val="00996A6B"/>
    <w:pPr>
      <w:keepNext/>
      <w:keepLines/>
      <w:spacing w:before="480"/>
      <w:outlineLvl w:val="0"/>
    </w:pPr>
    <w:rPr>
      <w:rFonts w:eastAsiaTheme="majorEastAsia"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semiHidden/>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ind w:left="720"/>
    </w:pPr>
    <w:rPr>
      <w:rFonts w:asciiTheme="minorHAnsi" w:hAnsiTheme="minorHAnsi" w:cs="Arial"/>
    </w:rPr>
  </w:style>
  <w:style w:type="paragraph" w:styleId="Title">
    <w:name w:val="Title"/>
    <w:aliases w:val="Section Title"/>
    <w:basedOn w:val="Normal"/>
    <w:next w:val="Normal"/>
    <w:link w:val="TitleChar"/>
    <w:uiPriority w:val="10"/>
    <w:qFormat/>
    <w:rsid w:val="00D749B1"/>
    <w:pPr>
      <w:spacing w:before="0"/>
    </w:pPr>
    <w:rPr>
      <w:rFonts w:eastAsiaTheme="majorEastAsia"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97406A"/>
    <w:pPr>
      <w:framePr w:hSpace="180" w:wrap="around" w:vAnchor="text" w:hAnchor="page" w:x="1585" w:y="129"/>
      <w:ind w:right="22"/>
    </w:pPr>
    <w:rPr>
      <w:rFonts w:eastAsia="Times New Roman" w:cs="Arial"/>
      <w:b/>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pPr>
    <w:rPr>
      <w:bCs/>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semiHidden/>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after="60"/>
    </w:pPr>
  </w:style>
  <w:style w:type="paragraph" w:styleId="Header">
    <w:name w:val="header"/>
    <w:basedOn w:val="Normal"/>
    <w:link w:val="HeaderChar"/>
    <w:uiPriority w:val="99"/>
    <w:unhideWhenUsed/>
    <w:rsid w:val="003B3934"/>
    <w:pPr>
      <w:tabs>
        <w:tab w:val="center" w:pos="4320"/>
        <w:tab w:val="right" w:pos="8640"/>
      </w:tabs>
      <w:spacing w:before="0" w:after="0"/>
    </w:p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spacing w:before="0" w:after="0"/>
    </w:p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styleId="CommentReference">
    <w:name w:val="annotation reference"/>
    <w:basedOn w:val="DefaultParagraphFont"/>
    <w:uiPriority w:val="99"/>
    <w:semiHidden/>
    <w:unhideWhenUsed/>
    <w:rsid w:val="0067486E"/>
    <w:rPr>
      <w:sz w:val="16"/>
      <w:szCs w:val="16"/>
    </w:rPr>
  </w:style>
  <w:style w:type="paragraph" w:styleId="CommentText">
    <w:name w:val="annotation text"/>
    <w:basedOn w:val="Normal"/>
    <w:link w:val="CommentTextChar"/>
    <w:uiPriority w:val="99"/>
    <w:semiHidden/>
    <w:unhideWhenUsed/>
    <w:rsid w:val="0067486E"/>
    <w:rPr>
      <w:sz w:val="20"/>
      <w:szCs w:val="20"/>
    </w:rPr>
  </w:style>
  <w:style w:type="character" w:customStyle="1" w:styleId="CommentTextChar">
    <w:name w:val="Comment Text Char"/>
    <w:basedOn w:val="DefaultParagraphFont"/>
    <w:link w:val="CommentText"/>
    <w:uiPriority w:val="99"/>
    <w:semiHidden/>
    <w:rsid w:val="0067486E"/>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486E"/>
    <w:rPr>
      <w:b/>
      <w:bCs/>
    </w:rPr>
  </w:style>
  <w:style w:type="character" w:customStyle="1" w:styleId="CommentSubjectChar">
    <w:name w:val="Comment Subject Char"/>
    <w:basedOn w:val="CommentTextChar"/>
    <w:link w:val="CommentSubject"/>
    <w:uiPriority w:val="99"/>
    <w:semiHidden/>
    <w:rsid w:val="0067486E"/>
    <w:rPr>
      <w:rFonts w:ascii="Calibri" w:hAnsi="Calibr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life.osu.edu/c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ds.ohio-state.edu/" TargetMode="External"/><Relationship Id="rId4" Type="http://schemas.openxmlformats.org/officeDocument/2006/relationships/settings" Target="settings.xml"/><Relationship Id="rId9" Type="http://schemas.openxmlformats.org/officeDocument/2006/relationships/hyperlink" Target="mailto:ods@o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09E2-610F-4B95-8232-AEA6B3A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Mughan, Anthony</cp:lastModifiedBy>
  <cp:revision>2</cp:revision>
  <dcterms:created xsi:type="dcterms:W3CDTF">2016-02-09T19:27:00Z</dcterms:created>
  <dcterms:modified xsi:type="dcterms:W3CDTF">2016-02-09T19:27:00Z</dcterms:modified>
</cp:coreProperties>
</file>